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3D" w:rsidRDefault="00613E0C" w:rsidP="0075763D">
      <w:pPr>
        <w:widowControl/>
        <w:spacing w:line="460" w:lineRule="exact"/>
        <w:jc w:val="center"/>
        <w:rPr>
          <w:rFonts w:ascii="方正小标宋简体" w:eastAsia="方正小标宋简体" w:hAnsi="仿宋" w:cs="Arial" w:hint="eastAsia"/>
          <w:color w:val="333333"/>
          <w:sz w:val="32"/>
          <w:szCs w:val="32"/>
          <w:shd w:val="clear" w:color="auto" w:fill="FFFFFF"/>
        </w:rPr>
      </w:pPr>
      <w:r w:rsidRPr="00613E0C">
        <w:rPr>
          <w:rFonts w:ascii="方正小标宋简体" w:eastAsia="方正小标宋简体" w:hAnsi="仿宋" w:cs="Arial" w:hint="eastAsia"/>
          <w:color w:val="333333"/>
          <w:sz w:val="32"/>
          <w:szCs w:val="32"/>
          <w:shd w:val="clear" w:color="auto" w:fill="FFFFFF"/>
        </w:rPr>
        <w:t>吸收光谱测量系统集成项目</w:t>
      </w:r>
      <w:bookmarkStart w:id="0" w:name="_GoBack"/>
      <w:bookmarkEnd w:id="0"/>
      <w:r w:rsidR="00690222" w:rsidRPr="00690222">
        <w:rPr>
          <w:rFonts w:ascii="方正小标宋简体" w:eastAsia="方正小标宋简体" w:hAnsi="仿宋" w:cs="Arial" w:hint="eastAsia"/>
          <w:color w:val="333333"/>
          <w:sz w:val="32"/>
          <w:szCs w:val="32"/>
          <w:shd w:val="clear" w:color="auto" w:fill="FFFFFF"/>
        </w:rPr>
        <w:t>主要技术要求</w:t>
      </w:r>
    </w:p>
    <w:p w:rsidR="00613E0C" w:rsidRDefault="00613E0C" w:rsidP="0075763D">
      <w:pPr>
        <w:widowControl/>
        <w:spacing w:line="460" w:lineRule="exact"/>
        <w:jc w:val="center"/>
        <w:rPr>
          <w:rFonts w:ascii="方正小标宋简体" w:eastAsia="方正小标宋简体" w:hAnsi="仿宋" w:cs="Arial" w:hint="eastAsia"/>
          <w:color w:val="333333"/>
          <w:sz w:val="32"/>
          <w:szCs w:val="32"/>
          <w:shd w:val="clear" w:color="auto" w:fill="FFFFFF"/>
        </w:rPr>
      </w:pPr>
    </w:p>
    <w:p w:rsidR="00613E0C" w:rsidRPr="005A75BE" w:rsidRDefault="00613E0C" w:rsidP="00613E0C">
      <w:pPr>
        <w:pStyle w:val="a5"/>
        <w:numPr>
          <w:ilvl w:val="0"/>
          <w:numId w:val="16"/>
        </w:numPr>
        <w:spacing w:line="460" w:lineRule="exact"/>
        <w:ind w:firstLineChars="0"/>
        <w:rPr>
          <w:rFonts w:ascii="黑体" w:eastAsia="黑体" w:hAnsi="黑体" w:cs="Arial"/>
          <w:color w:val="333333"/>
          <w:sz w:val="28"/>
          <w:szCs w:val="32"/>
          <w:shd w:val="clear" w:color="auto" w:fill="FFFFFF"/>
        </w:rPr>
      </w:pPr>
      <w:r w:rsidRPr="005A75BE">
        <w:rPr>
          <w:rFonts w:ascii="黑体" w:eastAsia="黑体" w:hAnsi="黑体" w:cs="Arial" w:hint="eastAsia"/>
          <w:color w:val="333333"/>
          <w:sz w:val="28"/>
          <w:szCs w:val="32"/>
          <w:shd w:val="clear" w:color="auto" w:fill="FFFFFF"/>
        </w:rPr>
        <w:t>项目内容</w:t>
      </w:r>
    </w:p>
    <w:p w:rsidR="00613E0C" w:rsidRDefault="00613E0C" w:rsidP="00613E0C">
      <w:pPr>
        <w:pStyle w:val="a5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B826E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项目名称及用途</w:t>
      </w:r>
      <w:r w:rsidRPr="00CF7438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：</w:t>
      </w:r>
    </w:p>
    <w:p w:rsidR="00613E0C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9948E9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吸收光谱测量系统集成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项目</w:t>
      </w:r>
      <w:r w:rsidRPr="009948E9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用于发展高温环境下的吸收光谱非接触测量技术，并使之应用于电弧风洞等高温流场诊断研究中。</w:t>
      </w:r>
    </w:p>
    <w:p w:rsidR="00613E0C" w:rsidRDefault="00613E0C" w:rsidP="00613E0C">
      <w:pPr>
        <w:pStyle w:val="a5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9948E9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项目组成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:</w:t>
      </w:r>
    </w:p>
    <w:p w:rsidR="00613E0C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9948E9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吸收光谱测量系统分为TDLAS和PMLAS两种技术途径，分别如图1和图2所示。系统组成见表1，主要包括激光器系统、控制</w:t>
      </w:r>
      <w:proofErr w:type="gramStart"/>
      <w:r w:rsidRPr="009948E9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与数采系统</w:t>
      </w:r>
      <w:proofErr w:type="gramEnd"/>
      <w:r w:rsidRPr="009948E9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、光束控制系统、激光检测系统、光机件系统、以及其它应用于风洞现场隔震、系统调试、集成安装、电磁屏蔽等所需的必要配件。中标单位负责该测量系统所有设备、器件、配件的采购，以及系统集成、安装和调试工作。</w:t>
      </w:r>
    </w:p>
    <w:p w:rsidR="00613E0C" w:rsidRDefault="00613E0C" w:rsidP="00613E0C">
      <w:pPr>
        <w:pStyle w:val="a5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工作环境：</w:t>
      </w:r>
    </w:p>
    <w:p w:rsidR="00613E0C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4686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测量设备应用于高温/高焓风洞试验现场，具有一定电磁干扰和地面振动影响。被测对象为高温空气气流，气流温度500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-</w:t>
      </w:r>
      <w:r w:rsidRPr="0084686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10000K，气流与测量设备之间有光学窗口隔离，测量距离1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-</w:t>
      </w:r>
      <w:r w:rsidRPr="0084686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3m。测量设备工作大气环境年平均温度20°C，年最高温度：42°C，年最低温度：-5°C，年相对湿度：80％RH。</w:t>
      </w:r>
    </w:p>
    <w:p w:rsidR="00613E0C" w:rsidRDefault="00613E0C" w:rsidP="00613E0C">
      <w:pPr>
        <w:pStyle w:val="a5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技术指标：</w:t>
      </w:r>
    </w:p>
    <w:p w:rsidR="00613E0C" w:rsidRPr="00B8288D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吸收光谱测量系统的主要技术指标和要求如下：</w:t>
      </w:r>
    </w:p>
    <w:p w:rsidR="00613E0C" w:rsidRPr="00B8288D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a.</w:t>
      </w:r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ab/>
        <w:t>TDLAS可调谐激光器采用蝶形封装FC/APC尾纤输出，输出功率≥3mW，中心波长844.6nm和856.8nm，准确度优于0.1nm，无跳模调谐范围≥±0.3nm；</w:t>
      </w:r>
    </w:p>
    <w:p w:rsidR="00613E0C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b.</w:t>
      </w:r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ab/>
        <w:t>PMLAS可调谐激光器采用自由光输出，光束直径≤2mm，输出功率≥50mW，工作波长覆盖772.4nm、777.2nm、844.6nm、840.8nm、842.5nm和852.1nm（最多两套激光器组合），粗调准确度优于0.01nm，无跳模调谐范围≥0.1nm，激光线宽≤300KHz；</w:t>
      </w:r>
    </w:p>
    <w:p w:rsidR="00613E0C" w:rsidRDefault="00613E0C" w:rsidP="00613E0C">
      <w:pPr>
        <w:pStyle w:val="a5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详细技术要求：</w:t>
      </w:r>
    </w:p>
    <w:p w:rsidR="00613E0C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吸收光谱技术测量分为TDLAS和PMLAS两种，技术原理示意图分别见图1和图2，所需设备分为激光器系统、控制</w:t>
      </w:r>
      <w:proofErr w:type="gramStart"/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与数采系统</w:t>
      </w:r>
      <w:proofErr w:type="gramEnd"/>
      <w:r w:rsidRPr="00B8288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、光束控制系统、激光检测系统、光机件系统、以及其它必要配件，详细清单见表2，主要技术要求如下：</w:t>
      </w:r>
    </w:p>
    <w:p w:rsidR="00613E0C" w:rsidRPr="005C34A6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</w:t>
      </w:r>
      <w:r w:rsidRPr="005C34A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.1  </w:t>
      </w:r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激光器系统</w:t>
      </w:r>
    </w:p>
    <w:p w:rsidR="00613E0C" w:rsidRPr="00685EA1" w:rsidRDefault="00613E0C" w:rsidP="00613E0C">
      <w:pPr>
        <w:widowControl/>
        <w:numPr>
          <w:ilvl w:val="0"/>
          <w:numId w:val="18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外腔可调谐半导体激光器系统1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-</w:t>
      </w:r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2套：波长范围涵盖772.4nm、777.2nm、844.6nm、840.8nm、842.5nm和852.1nm；为涵盖上述波长，激光器数量≤2；要求无跳模调谐范围（精调）≥100pm，线宽≤300KHz，空间光输出，输出功率≥50mW，光束直径≤2mm；波长自动调谐，准确度优于0.01nm；功率漂移≤1%（&gt;1小时），波长漂移≤2pm（&gt;1小时）；1套完整的激光器系统应该具有良好稳固的封装、具备基本防电磁干扰能力、配套二级温度控制以及测温系统、配备光隔离器、配套控制器；控制器除具有设定温度、电流/</w:t>
      </w:r>
      <w:proofErr w:type="spell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功率、激光波长、波长扫描等基本功能外，还应提供外部调制接口，允许外部信号发生器通过控制器对激光器输出波长进行调制</w:t>
      </w:r>
      <w:proofErr w:type="spell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。</w:t>
      </w:r>
    </w:p>
    <w:p w:rsidR="00613E0C" w:rsidRPr="00685EA1" w:rsidRDefault="00613E0C" w:rsidP="00613E0C">
      <w:pPr>
        <w:widowControl/>
        <w:numPr>
          <w:ilvl w:val="0"/>
          <w:numId w:val="18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proofErr w:type="spell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DFB激光器</w:t>
      </w:r>
      <w:proofErr w:type="spell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2套：分布反馈式可调谐二极管激光器，空气</w:t>
      </w:r>
      <w:proofErr w:type="gram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中中心</w:t>
      </w:r>
      <w:proofErr w:type="gram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波长分别为844.6nm和856.8nm，准确度优于0.1nm；无跳模调谐范围≥±0.5nm，调制频率≥10KHz（@40%CW调谐范围）；蝶形封装FC/</w:t>
      </w:r>
      <w:proofErr w:type="spell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APC尾</w:t>
      </w:r>
      <w:proofErr w:type="gram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纤</w:t>
      </w:r>
      <w:proofErr w:type="gram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输出，尾纤长度</w:t>
      </w:r>
      <w:proofErr w:type="spell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1米，尾</w:t>
      </w:r>
      <w:proofErr w:type="gram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纤</w:t>
      </w:r>
      <w:proofErr w:type="gram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输出功率≥3mW；配备蝶形安装底座，底座具备为激光器提供驱动、调制和散热等功能的制式接口，底座温控精度≥0.002°，</w:t>
      </w:r>
      <w:proofErr w:type="spellStart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底座具有SMA制式的RF输入接头，可接受最高调制频率</w:t>
      </w:r>
      <w:proofErr w:type="spellEnd"/>
      <w:r w:rsidRPr="00685EA1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≥100KHz；不需要独立配备控制器。</w:t>
      </w:r>
    </w:p>
    <w:p w:rsidR="00613E0C" w:rsidRPr="0088147B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 控制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与数采系统</w:t>
      </w:r>
      <w:proofErr w:type="gramEnd"/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信号发生器1台：独立输出通道数≥2，带宽≥80MHz，分辨率≥1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μ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Hz，任意波形采样率≥1GSa/s；输出1mVpp至10Vpp，谐波失真≤0.03%，边沿抖动≤1ps，深存储器≥4MSa；每通道能独立输出正弦波、方波、斜波、脉冲、三角波、锯齿波、以及任意波形，具有排序功能和4MSa存储器，抗混叠滤波；可以连续、调制、频率扫描、计数触发、选通触发等方式工作；1ps抖动，兼容</w:t>
      </w:r>
      <w:proofErr w:type="spell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Keysight</w:t>
      </w:r>
      <w:proofErr w:type="spell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</w:t>
      </w:r>
      <w:proofErr w:type="spell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BenchVue</w:t>
      </w:r>
      <w:proofErr w:type="spell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软件；支持AM、FM、PM、FSK、BPSK、PWM、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总和(载波+调制)等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调制；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包括LAN、USB和可选的GPIB接口；4.3英寸彩色TFT WQVGA(480x272),LED背光。</w:t>
      </w:r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数采系统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1套：4插槽， PXI机箱速率≥3GB/s，支持PXI Express模块以及PXI混合兼容模块；精度≥28位，通道≥32，采样率≥2MS/s，±15V灵活分辨率PXI模拟输入模块；PXI远程控制模块。</w:t>
      </w:r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锁相放大器1台：独立输入通道≥2、独立输出通道≥2，相位分辨率≥0.01°；1mHz至3MHz测量范围；相位/幅值自动调节；多谐波测量；满量程灵敏度1nV至1V；时间常数为10us至3ks；动态储备大于80dB。</w:t>
      </w:r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混合频域示波器1套：模拟输入通道≥4，模拟通道带宽≥200MHz；上升时间≤2ns；最大采样率≥2.5GS/s；记录长度≥10M；最大波形捕获速率&gt;280,000wfm/s；具有频谱分析功能，频谱分析仪通道数≥1，频谱分析仪频率范围9kHz</w:t>
      </w:r>
      <w:r w:rsidRPr="0088147B">
        <w:rPr>
          <w:rFonts w:ascii="宋体" w:eastAsia="宋体" w:hAnsi="宋体" w:cs="宋体" w:hint="eastAsia"/>
          <w:color w:val="333333"/>
          <w:sz w:val="28"/>
          <w:szCs w:val="32"/>
          <w:shd w:val="clear" w:color="auto" w:fill="FFFFFF"/>
        </w:rPr>
        <w:t>–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3GHz；具有任意函数发生器输出功能，通道数≥1，13种预先定义的波形类型，50MHz波形生成功能，128k任意波形发生器记录长度，250MS/s任意波形发生器采样率；包括LAN、USB接口；</w:t>
      </w:r>
      <w:proofErr w:type="spell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LabVIEW</w:t>
      </w:r>
      <w:proofErr w:type="spell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、</w:t>
      </w:r>
      <w:proofErr w:type="spell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LabWindows</w:t>
      </w:r>
      <w:proofErr w:type="spell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/CVI、</w:t>
      </w:r>
      <w:proofErr w:type="spell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MicrosoftNET</w:t>
      </w:r>
      <w:proofErr w:type="spell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和MATLAB提供标准的仪器编程接口；9英寸（229毫米）彩色显示器。</w:t>
      </w:r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直流源4台：带有双3位数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字面板表显示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的恒压(CV)与恒流(CC)自动转换的高精度电源；输出通道数≥2，电压输出范围≥0-35V，电流输出范围≥0-3A；1×10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vertAlign w:val="superscript"/>
        </w:rPr>
        <w:t>-5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+2mV恒压特性和1.5×10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vertAlign w:val="superscript"/>
        </w:rPr>
        <w:t>-5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+5mA恒流特性；通道1为主路，通道2为从路，在跟踪状态下，从路的输出电压随主而变化；高亮度、大字体数码管显示；按键配有指示灯；智能温控风扇，自动过保护；开机自检功能，硬件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异常过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压保护。</w:t>
      </w:r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功率放大器：0.05-500MHz带宽、9dB输出增益的功率放大器10个；5-500MHz带宽、29dB输出增益的功率放大器1个；2-500MHz带宽、16dB输出增益的功率放大器1个；0.0025-500MHz带宽、25dB输出增益的功率放大器1个。</w:t>
      </w:r>
    </w:p>
    <w:p w:rsidR="00613E0C" w:rsidRPr="0088147B" w:rsidRDefault="00613E0C" w:rsidP="00613E0C">
      <w:pPr>
        <w:widowControl/>
        <w:numPr>
          <w:ilvl w:val="0"/>
          <w:numId w:val="19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图形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工作站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1台：处理器配置不低于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酷</w:t>
      </w:r>
      <w:proofErr w:type="gramStart"/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睿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i7-6700，显卡GTX1070 8G，64G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 xml:space="preserve"> DDR-4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内存，存储器240G固态硬盘+2T机械硬盘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，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23英寸显示器，Intel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 xml:space="preserve"> Q270芯片组，小机箱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18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L，电源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400</w:t>
      </w:r>
      <w:r w:rsidRPr="0088147B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W，含鼠标键盘套装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613E0C" w:rsidRPr="0088147B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3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 光束控制系统</w:t>
      </w:r>
    </w:p>
    <w:p w:rsidR="00613E0C" w:rsidRPr="0088147B" w:rsidRDefault="00613E0C" w:rsidP="00613E0C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  <w:lang w:val="x-none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lang w:val="x-none"/>
        </w:rPr>
        <w:t>主要组成器件如下：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2×2光纤耦合器1个：中心波长800±100nm，单模，可双向耦合（任意端输入），50:50耦合比，额外损耗≤0.3dB，FC/APC接头。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1×2光开关1套：1×2双向光纤光开关，750-950nm波长，USB远程控制，包含电源，插入损耗≤1.5dB，开关速度≥1ms；定制FC/APC接头。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单模1×2宽带光纤分束器2个：工作波长范围850±100nm，90:10耦合比输出，插入损耗≤0.9dB，FC/APC接头。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单模1×4宽带光纤分束器1个：工作波长范围850±100nm，25:25:25:25耦合比输出，插入损耗≤0.9dB，FC/APC接头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多模1×2光纤分束器2个：芯径105微米，NA=0.22，50:50耦合比输出，插入损耗≤0.9dB，FC/PC接头。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大口径光纤准直器2个：抛物面反射镜结构，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镀带保护层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的银膜，反射焦距50.8mm，工作波长450-2000nm，通光孔径22mm，近似发散角≤0.02°，12mm直径光束（光纤NA0.13），FC/APC接头。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细光束准直镜2个：透镜式准直器，发散角0.06°，NA0.55，焦距4.5mm，光束直径≤0.98mm（光纤NA0.13时），外径11mm，FC/APC接头。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短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焦离轴抛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物镜1个：Φ2英寸90°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离轴抛物镜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镀带保护层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金膜，反射焦距≤3英寸。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长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焦离轴抛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物镜1个：Φ3英寸90°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离轴抛物镜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镀带保护层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金膜，反射焦距≥5英寸。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声光调制器2套：波长范围≥415-900nm，上升时间~300ns，通光孔径≥3mm，操作频率：0-10MHz可调；带控制器，可远程编程控制。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光纤偏振控制器1套：3个大浆的光纤偏振控制器，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绕盘直径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56mm，无光纤。</w:t>
      </w:r>
    </w:p>
    <w:p w:rsidR="00613E0C" w:rsidRPr="0088147B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光纤衰减器1个：电子可调光学衰减器，780-980nm，FC/APC光纤接头，BNC电子接头可远程控制。</w:t>
      </w:r>
    </w:p>
    <w:p w:rsidR="00613E0C" w:rsidRDefault="00613E0C" w:rsidP="00613E0C">
      <w:pPr>
        <w:widowControl/>
        <w:numPr>
          <w:ilvl w:val="0"/>
          <w:numId w:val="20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其它组成器件还包括光纤、光纤跳线、滤光片、衍射光栅、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半反半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透镜、非球面透镜、分束镜、平面反射镜、波片、线偏振片、光阑等</w:t>
      </w:r>
      <w:proofErr w:type="gramStart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详细要</w:t>
      </w:r>
      <w:proofErr w:type="gramEnd"/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求见表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2.</w:t>
      </w:r>
    </w:p>
    <w:p w:rsidR="00613E0C" w:rsidRPr="0088147B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4</w:t>
      </w:r>
      <w:r w:rsidRPr="0088147B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 激光检测系统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低噪声光电探测器2个：工作波长范围</w:t>
      </w:r>
      <w:r w:rsidRPr="00E624E4">
        <w:rPr>
          <w:rFonts w:ascii="仿宋_GB2312" w:eastAsia="仿宋_GB2312" w:hAnsi="仿宋" w:cs="Arial" w:hint="eastAsia"/>
          <w:b/>
          <w:color w:val="333333"/>
          <w:sz w:val="28"/>
          <w:szCs w:val="32"/>
          <w:shd w:val="clear" w:color="auto" w:fill="FFFFFF"/>
          <w:lang w:val="x-none"/>
        </w:rPr>
        <w:t>≥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400-1000nm，带宽~8MHz，NEP≤2×10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  <w:vertAlign w:val="superscript"/>
        </w:rPr>
        <w:t>-13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W/√Hz,通光孔径≥0.98mm。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扫描式F-P干涉仪1台：820-1275nm，自由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频谱区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≤1.5GHz，共聚焦设计，采用超稳定无热化殷钢腔体，精细度≥200，分辨率7.5MHz，配备提供三角或锯齿波形扫描电压的控制器。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微型光纤光谱仪1套：光纤耦合输入，工作波长≥200-1100nm，分辨率≥0.5nm，积分时间4ms-10s可调，CCD≥3500像素，模数转换精度≥12位。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红外观察卡2套：每套含700-1400nm近红外观察卡和1.5-13.2μm中远红外观察卡各1片。</w:t>
      </w:r>
    </w:p>
    <w:p w:rsidR="00613E0C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 光机件系统</w:t>
      </w:r>
    </w:p>
    <w:p w:rsidR="00613E0C" w:rsidRPr="00E624E4" w:rsidRDefault="00613E0C" w:rsidP="00613E0C">
      <w:pPr>
        <w:widowControl/>
        <w:spacing w:line="460" w:lineRule="exact"/>
        <w:ind w:left="566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主要组成器件如下：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主动隔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震光学平台1套：主动和被动隔振结合，可自动检测震源方向和幅度然后进行6个自由度的自动稳定补偿，台面为400系列磁性不锈钢，带有传感器和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促动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器，长宽1200×900mm，高≤900mm。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光学斩波器1套：最高斩波频率≥10KHz，带控制器和软件（可远程控制）以及220V电源线。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电动步进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平移台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1套：行程≥300mm，精度≥0.1mm，带两通道控制器，可与计算机远程连接，支持手动调节。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电动步进旋转台1套：360°自由旋转，精度≥0.01°，与上述步进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平移台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可同时共用控制器，支持手动调节。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XY轴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位移台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2台：带旋转平台的双轴线性位移台，行程</w:t>
      </w:r>
      <w:r w:rsidRPr="004E50B1">
        <w:rPr>
          <w:rFonts w:ascii="Calibri" w:eastAsia="宋体" w:hAnsi="Calibri" w:cs="Times New Roman" w:hint="eastAsia"/>
          <w:szCs w:val="21"/>
        </w:rPr>
        <w:t>~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13mm，分度</w:t>
      </w:r>
      <w:r w:rsidRPr="004E50B1">
        <w:rPr>
          <w:rFonts w:ascii="Calibri" w:eastAsia="宋体" w:hAnsi="Calibri" w:cs="Times New Roman" w:hint="eastAsia"/>
          <w:szCs w:val="21"/>
        </w:rPr>
        <w:t>~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10μm；可360°旋转，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带角度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刻线，中心有SM1通孔。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角度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位移台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2台：应用于水平表面，倾斜和俯仰角调节范围±5°，偏航角调节范围±10°，分度值10μm。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重载升降台2台：剪式重载升降台，支撑重量≥34Kg，平滑垂直调节范围≥50mm。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纵向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位移台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2台：行程≥250mm，精细调节精度≤每转0.05英寸，负载≥20Kg，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带快速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释放按钮和锁定销，使用锁定销时可负载≥40Kg。</w:t>
      </w:r>
    </w:p>
    <w:p w:rsidR="00613E0C" w:rsidRPr="00E624E4" w:rsidRDefault="00613E0C" w:rsidP="00613E0C">
      <w:pPr>
        <w:widowControl/>
        <w:numPr>
          <w:ilvl w:val="0"/>
          <w:numId w:val="21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其它组成器件还包括光栅转接架、抛物镜安装架、透镜套管、SM扳手钻头套件、透镜安装架、精密光学调整节架、偏振片调节架、矩形光学元件安装架等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详细要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求见表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2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613E0C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6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 其它配件</w:t>
      </w:r>
    </w:p>
    <w:p w:rsidR="00613E0C" w:rsidRPr="00E624E4" w:rsidRDefault="00613E0C" w:rsidP="00613E0C">
      <w:pPr>
        <w:widowControl/>
        <w:numPr>
          <w:ilvl w:val="0"/>
          <w:numId w:val="22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安装配件1套：包含：吸收光谱技术测量设备中各类转接架、安装架、调节架、套管等固定所需的支杆、套筒、压块、夹具、螺丝等，数量按必要需求量的200%配备；磁吸附底座10个；安装工具1套。</w:t>
      </w:r>
    </w:p>
    <w:p w:rsidR="00613E0C" w:rsidRPr="00E624E4" w:rsidRDefault="00613E0C" w:rsidP="00613E0C">
      <w:pPr>
        <w:widowControl/>
        <w:numPr>
          <w:ilvl w:val="0"/>
          <w:numId w:val="22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光学配件1套：包含：光纤接头（FC/APC和FC/PC）制备工具套装1套、FC光纤接头套装1套（接头数量≥50）、不锈钢波纹光纤保护管200米、光纤松套管（黄色）500米、镜片清洁套装1套、光纤清洗套装1套、光学镜片防尘盒1套（≥5个）、镜片取放工具1套；带螺纹孔的光学直角板、底板、延长板各5块（常用尺寸、大小搭配）；</w:t>
      </w:r>
      <w:r w:rsidRPr="004E50B1">
        <w:rPr>
          <w:rFonts w:ascii="Calibri" w:eastAsia="宋体" w:hAnsi="Calibri" w:cs="Times New Roman" w:hint="eastAsia"/>
          <w:szCs w:val="21"/>
        </w:rPr>
        <w:t>~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0.5米面包板4块。</w:t>
      </w:r>
    </w:p>
    <w:p w:rsidR="00613E0C" w:rsidRPr="00E624E4" w:rsidRDefault="00613E0C" w:rsidP="00613E0C">
      <w:pPr>
        <w:widowControl/>
        <w:numPr>
          <w:ilvl w:val="0"/>
          <w:numId w:val="22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转接配件1套：包含：光纤跳线转接头（FC/APC-FC/APC、FC/PC-FC/PC、FC/PC-FC/APC、FC/PC-SMA905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各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10个）；SM螺孔转接头（SM1内-SM05外、SM05内-SM1外、SM1内-SM2外、SM1外-SM2内、盖帽各10个）；BNC转接头（公-母、公-公、母-母各10个）；BNC线（0.5米、2米、2米、5米各10根）；三通BNC接头20个。</w:t>
      </w:r>
    </w:p>
    <w:p w:rsidR="00613E0C" w:rsidRPr="00E624E4" w:rsidRDefault="00613E0C" w:rsidP="00613E0C">
      <w:pPr>
        <w:widowControl/>
        <w:numPr>
          <w:ilvl w:val="0"/>
          <w:numId w:val="22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屏蔽配件1套：包含：2mm厚铝板（0.5米×1米）15张、镍铜合金材料导电电磁屏蔽布1米×50米、硬质黑色罩壳（</w:t>
      </w:r>
      <w:r w:rsidRPr="004E50B1">
        <w:rPr>
          <w:rFonts w:ascii="Calibri" w:eastAsia="宋体" w:hAnsi="Calibri" w:cs="Times New Roman" w:hint="eastAsia"/>
          <w:szCs w:val="21"/>
        </w:rPr>
        <w:t>~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600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×400×400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mm，类似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Thorlabs-XE25C9D）2个、铝板切割/打孔工具1套（含304十字槽沉头M2.5螺钉/螺母100对）。</w:t>
      </w:r>
    </w:p>
    <w:p w:rsidR="00613E0C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7</w:t>
      </w: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 其它技术要求</w:t>
      </w:r>
    </w:p>
    <w:p w:rsidR="00613E0C" w:rsidRPr="00E624E4" w:rsidRDefault="00613E0C" w:rsidP="00613E0C">
      <w:pPr>
        <w:widowControl/>
        <w:numPr>
          <w:ilvl w:val="0"/>
          <w:numId w:val="23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本任务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书涉及的仪器设备、器件元件、零散配件等产品种类繁多，各产品相互之间的参数匹配性要求十分严格，所采购产品应当与任务书中已指定的光学、电子、机械、尺寸等技术要求一致，或者保证所有产品严格的参数匹配性，并满足图1和图2所示测量系统的功能需求。</w:t>
      </w:r>
    </w:p>
    <w:p w:rsidR="00613E0C" w:rsidRPr="00E624E4" w:rsidRDefault="00613E0C" w:rsidP="00613E0C">
      <w:pPr>
        <w:widowControl/>
        <w:numPr>
          <w:ilvl w:val="0"/>
          <w:numId w:val="23"/>
        </w:numPr>
        <w:spacing w:line="460" w:lineRule="exact"/>
        <w:ind w:firstLineChars="200" w:firstLine="56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要求</w:t>
      </w:r>
      <w:proofErr w:type="gramStart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本任务</w:t>
      </w:r>
      <w:proofErr w:type="gramEnd"/>
      <w:r w:rsidRPr="00E624E4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书中的所有产品均为已有品牌型号的市场产品，不接受临时研发/研制类产品。</w:t>
      </w:r>
    </w:p>
    <w:p w:rsidR="00613E0C" w:rsidRPr="00E624E4" w:rsidRDefault="00613E0C" w:rsidP="00613E0C">
      <w:pPr>
        <w:spacing w:line="360" w:lineRule="auto"/>
        <w:ind w:firstLineChars="250" w:firstLine="70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  <w:lang w:val="x-none"/>
        </w:rPr>
      </w:pPr>
    </w:p>
    <w:p w:rsidR="00613E0C" w:rsidRPr="0084686A" w:rsidRDefault="00613E0C" w:rsidP="00613E0C">
      <w:pPr>
        <w:keepNext/>
        <w:widowControl/>
        <w:adjustRightInd w:val="0"/>
        <w:spacing w:line="360" w:lineRule="atLeast"/>
        <w:jc w:val="center"/>
        <w:textAlignment w:val="baseline"/>
        <w:rPr>
          <w:rFonts w:ascii="黑体" w:eastAsia="宋体" w:hAnsi="Times New Roman" w:cs="Times New Roman"/>
          <w:kern w:val="0"/>
          <w:szCs w:val="20"/>
          <w:lang w:val="x-none" w:eastAsia="x-none"/>
        </w:rPr>
      </w:pPr>
      <w:r w:rsidRPr="0084686A">
        <w:rPr>
          <w:rFonts w:ascii="黑体" w:eastAsia="宋体" w:hAnsi="Times New Roman" w:cs="Times New Roman"/>
          <w:kern w:val="0"/>
          <w:szCs w:val="20"/>
          <w:lang w:val="x-none" w:eastAsia="x-none"/>
        </w:rPr>
        <w:object w:dxaOrig="30826" w:dyaOrig="23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05.4pt" o:ole="">
            <v:imagedata r:id="rId8" o:title=""/>
          </v:shape>
          <o:OLEObject Type="Embed" ProgID="Visio.Drawing.11" ShapeID="_x0000_i1025" DrawAspect="Content" ObjectID="_1583837134" r:id="rId9"/>
        </w:object>
      </w:r>
    </w:p>
    <w:p w:rsidR="00613E0C" w:rsidRPr="0084686A" w:rsidRDefault="00613E0C" w:rsidP="00613E0C">
      <w:pPr>
        <w:jc w:val="center"/>
        <w:rPr>
          <w:rFonts w:ascii="黑体" w:eastAsia="黑体" w:hAnsi="黑体" w:cs="Times New Roman"/>
          <w:szCs w:val="21"/>
        </w:rPr>
      </w:pPr>
      <w:r w:rsidRPr="0084686A">
        <w:rPr>
          <w:rFonts w:ascii="Cambria" w:eastAsia="黑体" w:hAnsi="Cambria" w:cs="Times New Roman" w:hint="eastAsia"/>
          <w:sz w:val="20"/>
          <w:szCs w:val="20"/>
        </w:rPr>
        <w:t>图</w:t>
      </w:r>
      <w:r w:rsidRPr="0084686A">
        <w:rPr>
          <w:rFonts w:ascii="Cambria" w:eastAsia="黑体" w:hAnsi="Cambria" w:cs="Times New Roman"/>
          <w:sz w:val="20"/>
          <w:szCs w:val="20"/>
        </w:rPr>
        <w:fldChar w:fldCharType="begin"/>
      </w:r>
      <w:r w:rsidRPr="0084686A">
        <w:rPr>
          <w:rFonts w:ascii="Cambria" w:eastAsia="黑体" w:hAnsi="Cambria" w:cs="Times New Roman"/>
          <w:sz w:val="20"/>
          <w:szCs w:val="20"/>
        </w:rPr>
        <w:instrText xml:space="preserve"> </w:instrText>
      </w:r>
      <w:r w:rsidRPr="0084686A">
        <w:rPr>
          <w:rFonts w:ascii="Cambria" w:eastAsia="黑体" w:hAnsi="Cambria" w:cs="Times New Roman" w:hint="eastAsia"/>
          <w:sz w:val="20"/>
          <w:szCs w:val="20"/>
        </w:rPr>
        <w:instrText xml:space="preserve">SEQ </w:instrText>
      </w:r>
      <w:r w:rsidRPr="0084686A">
        <w:rPr>
          <w:rFonts w:ascii="Cambria" w:eastAsia="黑体" w:hAnsi="Cambria" w:cs="Times New Roman" w:hint="eastAsia"/>
          <w:sz w:val="20"/>
          <w:szCs w:val="20"/>
        </w:rPr>
        <w:instrText>图</w:instrText>
      </w:r>
      <w:r w:rsidRPr="0084686A">
        <w:rPr>
          <w:rFonts w:ascii="Cambria" w:eastAsia="黑体" w:hAnsi="Cambria" w:cs="Times New Roman" w:hint="eastAsia"/>
          <w:sz w:val="20"/>
          <w:szCs w:val="20"/>
        </w:rPr>
        <w:instrText xml:space="preserve"> \* ARABIC</w:instrText>
      </w:r>
      <w:r w:rsidRPr="0084686A">
        <w:rPr>
          <w:rFonts w:ascii="Cambria" w:eastAsia="黑体" w:hAnsi="Cambria" w:cs="Times New Roman"/>
          <w:sz w:val="20"/>
          <w:szCs w:val="20"/>
        </w:rPr>
        <w:instrText xml:space="preserve"> </w:instrText>
      </w:r>
      <w:r w:rsidRPr="0084686A">
        <w:rPr>
          <w:rFonts w:ascii="Cambria" w:eastAsia="黑体" w:hAnsi="Cambria" w:cs="Times New Roman"/>
          <w:sz w:val="20"/>
          <w:szCs w:val="20"/>
        </w:rPr>
        <w:fldChar w:fldCharType="separate"/>
      </w:r>
      <w:r w:rsidRPr="0084686A">
        <w:rPr>
          <w:rFonts w:ascii="Cambria" w:eastAsia="黑体" w:hAnsi="Cambria" w:cs="Times New Roman"/>
          <w:noProof/>
          <w:sz w:val="20"/>
          <w:szCs w:val="20"/>
        </w:rPr>
        <w:t>1</w:t>
      </w:r>
      <w:r w:rsidRPr="0084686A">
        <w:rPr>
          <w:rFonts w:ascii="Cambria" w:eastAsia="黑体" w:hAnsi="Cambria" w:cs="Times New Roman"/>
          <w:sz w:val="20"/>
          <w:szCs w:val="20"/>
        </w:rPr>
        <w:fldChar w:fldCharType="end"/>
      </w:r>
      <w:r w:rsidRPr="0084686A">
        <w:rPr>
          <w:rFonts w:ascii="Cambria" w:eastAsia="黑体" w:hAnsi="Cambria" w:cs="Times New Roman" w:hint="eastAsia"/>
          <w:sz w:val="20"/>
          <w:szCs w:val="20"/>
        </w:rPr>
        <w:t xml:space="preserve"> </w:t>
      </w:r>
      <w:r w:rsidRPr="0084686A">
        <w:rPr>
          <w:rFonts w:ascii="黑体" w:eastAsia="黑体" w:hAnsi="黑体" w:cs="Times New Roman" w:hint="eastAsia"/>
          <w:szCs w:val="21"/>
        </w:rPr>
        <w:t>TDLAS吸收光谱测量系统组成示意图</w:t>
      </w:r>
    </w:p>
    <w:p w:rsidR="00613E0C" w:rsidRPr="0084686A" w:rsidRDefault="00613E0C" w:rsidP="00613E0C">
      <w:pPr>
        <w:keepNext/>
        <w:widowControl/>
        <w:adjustRightInd w:val="0"/>
        <w:spacing w:line="360" w:lineRule="atLeast"/>
        <w:jc w:val="center"/>
        <w:textAlignment w:val="baseline"/>
        <w:rPr>
          <w:rFonts w:ascii="黑体" w:eastAsia="宋体" w:hAnsi="Times New Roman" w:cs="Times New Roman"/>
          <w:kern w:val="0"/>
          <w:szCs w:val="20"/>
          <w:lang w:val="x-none" w:eastAsia="x-none"/>
        </w:rPr>
      </w:pPr>
      <w:r w:rsidRPr="0084686A">
        <w:rPr>
          <w:rFonts w:ascii="黑体" w:eastAsia="宋体" w:hAnsi="Times New Roman" w:cs="Times New Roman"/>
          <w:kern w:val="0"/>
          <w:szCs w:val="20"/>
          <w:lang w:val="x-none" w:eastAsia="x-none"/>
        </w:rPr>
        <w:object w:dxaOrig="16056" w:dyaOrig="9727">
          <v:shape id="_x0000_i1026" type="#_x0000_t75" style="width:452.9pt;height:274.05pt" o:ole="">
            <v:imagedata r:id="rId10" o:title=""/>
          </v:shape>
          <o:OLEObject Type="Embed" ProgID="Visio.Drawing.11" ShapeID="_x0000_i1026" DrawAspect="Content" ObjectID="_1583837135" r:id="rId11"/>
        </w:object>
      </w:r>
    </w:p>
    <w:p w:rsidR="00613E0C" w:rsidRPr="00E624E4" w:rsidRDefault="00613E0C" w:rsidP="00613E0C">
      <w:pPr>
        <w:jc w:val="center"/>
        <w:rPr>
          <w:rFonts w:ascii="宋体" w:eastAsia="黑体" w:hAnsi="宋体" w:cs="Times New Roman"/>
          <w:szCs w:val="21"/>
        </w:rPr>
      </w:pPr>
      <w:r w:rsidRPr="0084686A">
        <w:rPr>
          <w:rFonts w:ascii="Cambria" w:eastAsia="黑体" w:hAnsi="Cambria" w:cs="Times New Roman" w:hint="eastAsia"/>
          <w:szCs w:val="21"/>
        </w:rPr>
        <w:t>图</w:t>
      </w:r>
      <w:r w:rsidRPr="0084686A">
        <w:rPr>
          <w:rFonts w:ascii="Cambria" w:eastAsia="黑体" w:hAnsi="Cambria" w:cs="Times New Roman"/>
          <w:szCs w:val="21"/>
        </w:rPr>
        <w:fldChar w:fldCharType="begin"/>
      </w:r>
      <w:r w:rsidRPr="0084686A">
        <w:rPr>
          <w:rFonts w:ascii="Cambria" w:eastAsia="黑体" w:hAnsi="Cambria" w:cs="Times New Roman"/>
          <w:szCs w:val="21"/>
        </w:rPr>
        <w:instrText xml:space="preserve"> </w:instrText>
      </w:r>
      <w:r w:rsidRPr="0084686A">
        <w:rPr>
          <w:rFonts w:ascii="Cambria" w:eastAsia="黑体" w:hAnsi="Cambria" w:cs="Times New Roman" w:hint="eastAsia"/>
          <w:szCs w:val="21"/>
        </w:rPr>
        <w:instrText xml:space="preserve">SEQ </w:instrText>
      </w:r>
      <w:r w:rsidRPr="0084686A">
        <w:rPr>
          <w:rFonts w:ascii="Cambria" w:eastAsia="黑体" w:hAnsi="Cambria" w:cs="Times New Roman" w:hint="eastAsia"/>
          <w:szCs w:val="21"/>
        </w:rPr>
        <w:instrText>图</w:instrText>
      </w:r>
      <w:r w:rsidRPr="0084686A">
        <w:rPr>
          <w:rFonts w:ascii="Cambria" w:eastAsia="黑体" w:hAnsi="Cambria" w:cs="Times New Roman" w:hint="eastAsia"/>
          <w:szCs w:val="21"/>
        </w:rPr>
        <w:instrText xml:space="preserve"> \* ARABIC</w:instrText>
      </w:r>
      <w:r w:rsidRPr="0084686A">
        <w:rPr>
          <w:rFonts w:ascii="Cambria" w:eastAsia="黑体" w:hAnsi="Cambria" w:cs="Times New Roman"/>
          <w:szCs w:val="21"/>
        </w:rPr>
        <w:instrText xml:space="preserve"> </w:instrText>
      </w:r>
      <w:r w:rsidRPr="0084686A">
        <w:rPr>
          <w:rFonts w:ascii="Cambria" w:eastAsia="黑体" w:hAnsi="Cambria" w:cs="Times New Roman"/>
          <w:szCs w:val="21"/>
        </w:rPr>
        <w:fldChar w:fldCharType="separate"/>
      </w:r>
      <w:r w:rsidRPr="0084686A">
        <w:rPr>
          <w:rFonts w:ascii="Cambria" w:eastAsia="黑体" w:hAnsi="Cambria" w:cs="Times New Roman"/>
          <w:noProof/>
          <w:szCs w:val="21"/>
        </w:rPr>
        <w:t>2</w:t>
      </w:r>
      <w:r w:rsidRPr="0084686A">
        <w:rPr>
          <w:rFonts w:ascii="Cambria" w:eastAsia="黑体" w:hAnsi="Cambria" w:cs="Times New Roman"/>
          <w:szCs w:val="21"/>
        </w:rPr>
        <w:fldChar w:fldCharType="end"/>
      </w:r>
      <w:r w:rsidRPr="0084686A">
        <w:rPr>
          <w:rFonts w:ascii="Cambria" w:eastAsia="黑体" w:hAnsi="Cambria" w:cs="Times New Roman" w:hint="eastAsia"/>
          <w:szCs w:val="21"/>
        </w:rPr>
        <w:t xml:space="preserve"> PMLAS</w:t>
      </w:r>
      <w:r w:rsidRPr="0084686A">
        <w:rPr>
          <w:rFonts w:ascii="Cambria" w:eastAsia="黑体" w:hAnsi="Cambria" w:cs="Times New Roman" w:hint="eastAsia"/>
          <w:szCs w:val="21"/>
        </w:rPr>
        <w:t>吸收光谱测量系统组成</w:t>
      </w:r>
      <w:r>
        <w:rPr>
          <w:rFonts w:ascii="Cambria" w:eastAsia="黑体" w:hAnsi="Cambria" w:cs="Times New Roman" w:hint="eastAsia"/>
          <w:szCs w:val="21"/>
        </w:rPr>
        <w:t>示意</w:t>
      </w:r>
    </w:p>
    <w:p w:rsidR="00613E0C" w:rsidRDefault="00613E0C" w:rsidP="00613E0C">
      <w:pPr>
        <w:pStyle w:val="a5"/>
        <w:spacing w:line="360" w:lineRule="auto"/>
        <w:ind w:left="1060" w:firstLineChars="0" w:firstLine="0"/>
        <w:jc w:val="center"/>
        <w:rPr>
          <w:rFonts w:ascii="宋体"/>
          <w:sz w:val="24"/>
        </w:rPr>
        <w:sectPr w:rsidR="00613E0C" w:rsidSect="004E50B1">
          <w:pgSz w:w="11906" w:h="16838" w:code="9"/>
          <w:pgMar w:top="1871" w:right="1304" w:bottom="1701" w:left="1418" w:header="851" w:footer="992" w:gutter="0"/>
          <w:cols w:space="425"/>
          <w:docGrid w:type="lines" w:linePitch="435" w:charSpace="21679"/>
        </w:sectPr>
      </w:pPr>
    </w:p>
    <w:p w:rsidR="00613E0C" w:rsidRDefault="00613E0C" w:rsidP="00613E0C">
      <w:pPr>
        <w:pStyle w:val="a5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测量系统集成的设备</w:t>
      </w:r>
      <w:r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清单：</w:t>
      </w:r>
    </w:p>
    <w:p w:rsidR="00613E0C" w:rsidRPr="004E50B1" w:rsidRDefault="00613E0C" w:rsidP="00613E0C">
      <w:pPr>
        <w:pStyle w:val="a5"/>
        <w:spacing w:line="360" w:lineRule="auto"/>
        <w:ind w:left="1060" w:firstLineChars="0" w:firstLine="0"/>
        <w:jc w:val="center"/>
        <w:rPr>
          <w:rFonts w:ascii="宋体"/>
          <w:sz w:val="24"/>
        </w:rPr>
      </w:pPr>
      <w:r w:rsidRPr="004E50B1">
        <w:rPr>
          <w:rFonts w:ascii="宋体" w:hint="eastAsia"/>
          <w:sz w:val="24"/>
        </w:rPr>
        <w:t>表</w:t>
      </w:r>
      <w:r w:rsidRPr="004E50B1">
        <w:rPr>
          <w:rFonts w:ascii="宋体"/>
          <w:sz w:val="24"/>
        </w:rPr>
        <w:fldChar w:fldCharType="begin"/>
      </w:r>
      <w:r w:rsidRPr="004E50B1">
        <w:rPr>
          <w:rFonts w:ascii="宋体"/>
          <w:sz w:val="24"/>
        </w:rPr>
        <w:instrText xml:space="preserve"> </w:instrText>
      </w:r>
      <w:r w:rsidRPr="004E50B1">
        <w:rPr>
          <w:rFonts w:ascii="宋体" w:hint="eastAsia"/>
          <w:sz w:val="24"/>
        </w:rPr>
        <w:instrText>SEQ 表 \* ARABIC</w:instrText>
      </w:r>
      <w:r w:rsidRPr="004E50B1">
        <w:rPr>
          <w:rFonts w:ascii="宋体"/>
          <w:sz w:val="24"/>
        </w:rPr>
        <w:instrText xml:space="preserve"> </w:instrText>
      </w:r>
      <w:r w:rsidRPr="004E50B1">
        <w:rPr>
          <w:rFonts w:ascii="宋体"/>
          <w:sz w:val="24"/>
        </w:rPr>
        <w:fldChar w:fldCharType="separate"/>
      </w:r>
      <w:r w:rsidRPr="004E50B1">
        <w:rPr>
          <w:rFonts w:ascii="宋体"/>
          <w:sz w:val="24"/>
        </w:rPr>
        <w:t>1</w:t>
      </w:r>
      <w:r w:rsidRPr="004E50B1">
        <w:rPr>
          <w:rFonts w:ascii="宋体"/>
          <w:sz w:val="24"/>
        </w:rPr>
        <w:fldChar w:fldCharType="end"/>
      </w:r>
      <w:r w:rsidRPr="004E50B1">
        <w:rPr>
          <w:rFonts w:ascii="宋体" w:hint="eastAsia"/>
          <w:sz w:val="24"/>
        </w:rPr>
        <w:t xml:space="preserve">  项目组成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151"/>
        <w:gridCol w:w="800"/>
        <w:gridCol w:w="851"/>
        <w:gridCol w:w="1134"/>
      </w:tblGrid>
      <w:tr w:rsidR="00613E0C" w:rsidRPr="0071214D" w:rsidTr="009E308A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b/>
                <w:sz w:val="18"/>
                <w:szCs w:val="18"/>
              </w:rPr>
              <w:t>设备（子系统）名称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613E0C" w:rsidTr="009E308A">
        <w:trPr>
          <w:jc w:val="center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吸收光谱测量系统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激光器系统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E0C" w:rsidTr="009E308A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控制与</w:t>
            </w:r>
            <w:proofErr w:type="gramStart"/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数采系统</w:t>
            </w:r>
            <w:proofErr w:type="gramEnd"/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E0C" w:rsidTr="009E308A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光束控制系统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E0C" w:rsidTr="009E308A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激光检测系统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E0C" w:rsidTr="009E308A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光机件系统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E0C" w:rsidTr="009E308A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配件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7D6D07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E0C" w:rsidRPr="007D6D07" w:rsidRDefault="00613E0C" w:rsidP="009E308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13E0C" w:rsidRPr="00E624E4" w:rsidRDefault="00613E0C" w:rsidP="00613E0C">
      <w:pPr>
        <w:spacing w:line="360" w:lineRule="auto"/>
        <w:rPr>
          <w:rFonts w:ascii="宋体"/>
          <w:sz w:val="24"/>
        </w:rPr>
      </w:pPr>
    </w:p>
    <w:p w:rsidR="00613E0C" w:rsidRPr="009948E9" w:rsidRDefault="00613E0C" w:rsidP="00613E0C">
      <w:pPr>
        <w:pStyle w:val="a5"/>
        <w:spacing w:line="360" w:lineRule="auto"/>
        <w:ind w:left="1060" w:firstLineChars="0" w:firstLine="0"/>
        <w:jc w:val="center"/>
        <w:rPr>
          <w:rFonts w:ascii="宋体"/>
          <w:sz w:val="24"/>
        </w:rPr>
      </w:pPr>
      <w:r w:rsidRPr="009948E9">
        <w:rPr>
          <w:rFonts w:ascii="宋体" w:hint="eastAsia"/>
          <w:sz w:val="24"/>
        </w:rPr>
        <w:t>表</w:t>
      </w:r>
      <w:r w:rsidRPr="009948E9">
        <w:rPr>
          <w:rFonts w:ascii="宋体"/>
          <w:sz w:val="24"/>
        </w:rPr>
        <w:fldChar w:fldCharType="begin"/>
      </w:r>
      <w:r w:rsidRPr="009948E9">
        <w:rPr>
          <w:rFonts w:ascii="宋体"/>
          <w:sz w:val="24"/>
        </w:rPr>
        <w:instrText xml:space="preserve"> </w:instrText>
      </w:r>
      <w:r w:rsidRPr="009948E9">
        <w:rPr>
          <w:rFonts w:ascii="宋体" w:hint="eastAsia"/>
          <w:sz w:val="24"/>
        </w:rPr>
        <w:instrText>SEQ 表 \* ARABIC</w:instrText>
      </w:r>
      <w:r w:rsidRPr="009948E9">
        <w:rPr>
          <w:rFonts w:ascii="宋体"/>
          <w:sz w:val="24"/>
        </w:rPr>
        <w:instrText xml:space="preserve"> </w:instrText>
      </w:r>
      <w:r w:rsidRPr="009948E9">
        <w:rPr>
          <w:rFonts w:ascii="宋体"/>
          <w:sz w:val="24"/>
        </w:rPr>
        <w:fldChar w:fldCharType="separate"/>
      </w:r>
      <w:r w:rsidRPr="009948E9">
        <w:rPr>
          <w:rFonts w:ascii="宋体"/>
          <w:sz w:val="24"/>
        </w:rPr>
        <w:t>2</w:t>
      </w:r>
      <w:r w:rsidRPr="009948E9">
        <w:rPr>
          <w:rFonts w:ascii="宋体"/>
          <w:sz w:val="24"/>
        </w:rPr>
        <w:fldChar w:fldCharType="end"/>
      </w:r>
      <w:r w:rsidRPr="009948E9">
        <w:rPr>
          <w:rFonts w:ascii="宋体" w:hint="eastAsia"/>
          <w:sz w:val="24"/>
        </w:rPr>
        <w:t xml:space="preserve">  吸收光谱技术测量系统设备清单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992"/>
        <w:gridCol w:w="1559"/>
        <w:gridCol w:w="1182"/>
        <w:gridCol w:w="1051"/>
        <w:gridCol w:w="851"/>
        <w:gridCol w:w="7371"/>
        <w:gridCol w:w="709"/>
      </w:tblGrid>
      <w:tr w:rsidR="00613E0C" w:rsidRPr="004E50B1" w:rsidTr="009E308A">
        <w:trPr>
          <w:tblHeader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子系统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品牌/厂家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（建议）</w:t>
            </w: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型号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（建议）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主要技术要求与参数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备注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激光器系统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外腔激光器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1~2套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  <w:lang w:val="x-none"/>
              </w:rPr>
              <w:t>波长范围涵盖772.4nm、777.2nm、844.6nm、840.8nm、842.5nm和852.1nm，要求无跳模调谐范围（精调）≥100pm，线宽≤300KHz，空间光输出，输出功率≥50mW，光束直径≤2mm；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每套激光器配备独立控制器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DFB激光器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Nanoplus</w:t>
            </w:r>
            <w:proofErr w:type="spellEnd"/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中心波长分别为844.6nm和856.8nm，精度≥0.1nm；无跳模调谐范围≥±0.3nm；FC/APC尾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纤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蝶形封装输出、尾纤长度~1米，尾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纤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输出功率≥3mW；配备安装底座，底座具有散热、温控、驱动和调制功能；无需控制器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控制与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数采系统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信号发生器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安捷伦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33612A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带宽≥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80 MHz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；通道数≥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；输出：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 xml:space="preserve">1 </w:t>
            </w: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mVpp</w:t>
            </w:r>
            <w:proofErr w:type="spellEnd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至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 xml:space="preserve"> 10 </w:t>
            </w: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Vpp</w:t>
            </w:r>
            <w:proofErr w:type="spellEnd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, 50</w:t>
            </w:r>
            <w:r w:rsidRPr="007D6D07">
              <w:rPr>
                <w:rFonts w:ascii="MS Mincho" w:eastAsia="MS Mincho" w:hAnsi="MS Mincho" w:cs="MS Mincho" w:hint="eastAsia"/>
                <w:sz w:val="18"/>
                <w:szCs w:val="18"/>
              </w:rPr>
              <w:t> </w:t>
            </w:r>
            <w:r w:rsidRPr="007D6D07">
              <w:rPr>
                <w:rFonts w:ascii="宋体" w:eastAsia="宋体" w:hAnsi="宋体" w:cs="宋体" w:hint="eastAsia"/>
                <w:sz w:val="18"/>
                <w:szCs w:val="18"/>
              </w:rPr>
              <w:t>Ω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；正弦波、方波、斜波、脉冲、三角波、高斯噪声、伪随机二进制序列 (PRBS)、直流；连续、调制、频率扫描、计数猝发、选通猝发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数据采集卡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NI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PXIe-1071，PXIe-4309，PXIe-8301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精度≥28位，通道数≥32，采样率≥2MS/s，插槽数量≥4，3GB/s PXI机箱，支持PXI Express模块以及PXI混合兼容模块；±15V灵活分辨率PXI模拟输入模块；配备PXI远程控制模块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图形工作站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处理器配置不低于酷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睿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i7-6700，显卡≥8G，内存≥64G DDR-4，存储器≥240G固态硬盘+2T机械硬盘，~23英寸显示器，Intel Q270芯片组，小机箱~18L，电源~400W，含鼠标键盘套装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国产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锁相放大器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中大科仪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OE1022D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测量范围≥1mHz至102KHz；相位/幅值自动调节；多谐波测量；满量程灵敏度1nV至1V；时间常数约为10us至3ks；动态储备大于80dB；相位分辨率≥0.01°；输入通道≥2，输出通道≥2。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国产</w:t>
            </w:r>
          </w:p>
        </w:tc>
      </w:tr>
      <w:tr w:rsidR="00613E0C" w:rsidRPr="004E50B1" w:rsidTr="009E308A">
        <w:trPr>
          <w:trHeight w:val="1759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混合频域示波器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泰克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MDO3024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模拟通道≥4；模拟通道带宽≥200MHz；上升时间~2ns；最大采样率≥2.5GS/s；记录长度：10M；频谱分析仪通道≥1；频谱分析仪频率范围：9 kHz 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–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3 GHz（带有MDO3SA 选件）；带有 MDO3AFG 选件的任意函数发生器输出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直流源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北京大华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DH1715A-5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带有双3位数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字面板表显示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的恒压(CV)与恒流(CC)自动转换的高精度电源；输出通道≥2，电压输出范围≥（20-35）V，电流输出范围≥（0-3）A；1×10-5+2mV恒压特性和1.5×10-5+5mA恒流特性；通道1为主路，通道2为从路，在跟踪状态下，从路的输出电压随主而变化；高亮度、大字体数码管显示；按键配有指示灯；智能温控风扇，自动过保护；开机自检功能，硬件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异常过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压保护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国产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功率放大器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mini-circuits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ZFL-500+，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ZHL-1-2W+，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ZHL-1A+，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ZHL-6A+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13个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0.05-500MHz带宽、9dB输出增益的功率放大器10个；5-500MHz带宽、29dB输出增益的功率放大器1个；2-500MHz带宽、16dB输出增益的功率放大器1个；0.0025-500MHz带宽、25dB输出增益的功率放大器1个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光束控制系统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2×2光纤耦合器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TW850R5A2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800±100nm单模，可双向耦合（任意端输入），50:50耦合比，额外损耗≤0.3dB，FC/APC接头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339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1×2光开关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OSW12-780E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1×2双向光纤光开关，750-950nm波长，USB远程控制，包含电源，插入损耗≤1.5dB，开关速度≥1ms；定制FC/APC接头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297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多模光纤跳线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M74L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15根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工作波长范围≥400-2200nm，多模，芯径</w:t>
            </w: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400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μ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m，包层425μm，NA0.39，长度1米、5米、50米各5根，FC/PC接头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单模1×2光纤分束器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TW850R2A1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单模宽带，工作波长850±100nm，90:10耦合比输出，插入损耗≤0.9dB，FC/APC接头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单模1×4光纤分束器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TWQ850HA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单模宽带，工作波长850±100nm，25:25:25:25耦合比输出，插入损耗≤0.9dB，FC/APC接头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多模1×2光纤分束器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TM105R5F1A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多模，芯径105微米，NA0.22，50:50耦合比输出，插入损耗≤0.9dB，FC/PC接头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单模光纤跳线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P3-780A-FC-1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15根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工作波长范围≥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780-970nm，截止730±30nm，模场直径5.0μm，包层直径125μm，涂覆层245μm，NA0.13，长度1米、2米和50米各5根，FC/APC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多模光纤裸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纤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FG105LCA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裸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纤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工作波长范围≥400-2200nm多模，芯径</w:t>
            </w: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400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μ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m，包层425μm，NA0.39；500米</w:t>
            </w: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单模光纤裸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纤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780HP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裸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纤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工作波长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780nm，单模，NA0.13，模场直径≤5μm，包层125μm，涂覆层245μm；500米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大口径反射光纤准直器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RC12FC-P01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带保护层银膜，450-2000nm，光束直径≥</w:t>
            </w: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mm（光纤NA=0.13时），光纤NA应&lt;0.216，反射焦距50.8mm，通光孔径≥22mm，近似发散角0.02°，SM1外螺纹，FC/PC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滤光片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FB830-10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中心波长830±2nm，带宽≤10±2nm，尺寸=1英寸，厚6.3mm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滤光片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FB850-10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中心波长850±2nm，带宽≤10±2nm，尺寸=1英寸，厚6.3mm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滤光片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FB780-10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中心波长780±2nm，带宽≤10±2nm，尺寸=1英寸，厚6.3mm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短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焦离轴抛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物镜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MPD229-M01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通光孔径尺寸=</w:t>
            </w: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2英寸，90°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离轴抛物镜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镀带保护层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金膜，反射焦距2英寸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长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焦离轴抛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物镜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MPD369-M01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通光孔径尺寸=</w:t>
            </w: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3英寸，90°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离轴抛物镜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镀带保护层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金膜，反射焦距6英寸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衍射光栅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GT25-03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透射式衍射光栅，可见光波段，300/mm刻线，17.5°闪耀角，尺寸25×25mm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半反半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透镜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BSW26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紫外熔融石英平板，350-1100nm，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分束比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=50:50，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1英寸，厚度5mm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1英寸非球面透镜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AL2550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AL2520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8个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非球面透镜，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1英寸，CNC抛光未镀膜；f=50mmNA=0.23（N-BK7）、f=20mmNA=0.543（S-LAH64）各4个，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1/2英寸非球面透镜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AL1210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AL1225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8个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非球面透镜，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1/2英寸，CNC抛光未镀膜；f=25mmNA=0.23（N-BK7）、f=10mmNA=0.545（S-LAH64）各4个，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声光调制器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Isomet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波长范围≥600-900nm，上升时间~300ns，通光孔径≥3mm，操作频率≥0-100KHz可调；带控制器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5: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5分束镜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BSW11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1英寸50:50紫外熔融石英平板分束镜，700-1100nm增透膜，厚度5mm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9: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1分束镜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BSX11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1英寸90:10紫外熔融石英平板分束镜，700-1100nm增透膜，厚度5mm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平面反射镜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PF10-03-G01-10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平面反射镜，有保护层铝膜，1英寸直径。10片装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光纤偏振控制器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FPC560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3个大浆的光纤偏振控制器，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绕盘直径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56mm，无光纤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1/2波片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WPH10ME-780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已安装的聚合物零级半波片，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1英寸，SM1螺纹外壳，780nm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269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1/4波片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WPQ10ME-780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已安装的聚合物零级1/4波片，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1英寸，SM1螺纹外壳，780nm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薄膜线偏振片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LPNIRE100-B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1英寸线偏振片，带N-BK7保护窗口片，600-1100nm，厚度3.3mm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细光束准直镜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F230APC-780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发散角0.06°，NA0.55，焦距4.5mm，光束直径≤0.98mm，外径11mm，FC/APC接头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光纤衰减器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V800A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电子可调光学衰减器， 780-980nm，FC/APC接头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SM1可调光阑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SM1D12SZ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0~12mm孔径可调，SM1螺纹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297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立杆式可调光阑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ID37Z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0~37mm孔径可调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激光检测系统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低噪声探测器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DET100A/M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400-1000nm，无增益，带宽≥8MHz，NEP≤2×10^-13w/Hz，通光直径≥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9.8mm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扫描式FP干涉仪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SA200-8B，SA201-EC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820-1275nm，自由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频谱区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≤1.5GHz，共聚焦设计，采用超稳定无热化殷钢腔体，精细度≥200，分辨率7.5MHz，配备提供三角或锯齿波形扫描电压的控制器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339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微型光纤光谱仪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Brolight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Bim-6001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光纤耦合输入，工作波长范围≥200-1100nm，分辨率≥0.5nm，积分时间4ms-10s，像素CCD≥3500，模数转换精度≥12位。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红外观察卡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VRC5，VRC6S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700-1400nm和1.5-13.2μm，1套两个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297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光机件系统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主动隔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震光学平台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Newport</w:t>
            </w: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M-GW3648-PG4-H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主动和被动隔振结合，6个自由度的自动稳定补偿，台面为400系列磁性不锈钢，带有传感器和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促动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器，长宽1200×900mm，高≤900mm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光学斩波器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MC2000B-EC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带MC1F10HP斩波片，频率范围≥（20Hz-10KHz），带控制器和软件（可远程控制）以及220V电源线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1311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电动步进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平移台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行程≥300mm，通道控制器通道数≥2，可与计算机远程连接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国产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电动步进旋转台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360°旋转，与平移电机共用控制器（同时）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国产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XY轴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位移台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XYR1/M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带旋转平台的双轴线性位移台，行程13mm，分度10μm；可360°旋转，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带角度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刻线；中心有SM1通孔，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trike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角度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位移台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TTR001/M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应用于水平表面，倾斜和俯仰角调节范围±5°，偏航角调节范围±10°，分度值10μm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trike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716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重载升降台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L490/M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剪式重载升降台，支撑重量34Kg，57.4mm平滑垂直调节范围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992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纵向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位移台</w:t>
            </w:r>
            <w:proofErr w:type="gramEnd"/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VAP10/M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254mm行程，每转.05英寸的精细调节旋钮，负载23Kg，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带快速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释放按钮和锁定销，使用锁定销时可负载46Kg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694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光栅转接架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KM100C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矩形光学元件安装座，高度33mm可调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rPr>
          <w:trHeight w:val="785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滤光片安装架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SM1QP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快速更换的透镜套滤波片架，兼容SM1螺纹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抛物镜安装架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KS1，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KS2，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KS3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4套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精密光学调节架，3个调节器，，光学元件由尼龙头定位螺丝固定；每套含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1、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2、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3英寸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安装座各1个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1/2英寸透镜套管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SM05L10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层叠式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SM05透镜套管，一端有SM05外螺纹，内径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1/2英寸；1英寸螺纹深度，附带一个卡环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1/2英寸开槽透镜套管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SM05L20C，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SM05RR-P10，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层叠式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SM05带槽透镜套筒，一端有SM05外螺纹，内径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1/2英寸，深度2英寸；SM1RR卡环10个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1英寸透镜套管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SM1L10-P5，</w:t>
            </w:r>
          </w:p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SPW602，SM1RR-P10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层叠式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SM1透镜套管，一端有SM1外螺纹，内径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1英寸；1英寸螺纹深度一包5个；SM1RR卡环10个；SM1扳手2个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1英寸开槽透镜套管</w:t>
            </w:r>
          </w:p>
        </w:tc>
        <w:tc>
          <w:tcPr>
            <w:tcW w:w="1182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SM1L30C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层叠式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SM1开槽透镜套管，一端有SM1外螺纹，内径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1英寸；3英寸螺纹深度，附带两个卡环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SM扳手钻头套件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SPB600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含SM05、SM1、SM2扳手钻头，六角驱动手柄，工具箱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1英寸透镜安装架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KM100，LN2508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安装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1英寸、3mm厚的光学元件，带青铜固定螺母可锁定调节器（1套包括1个镜架和2个固定螺母）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Arial"/>
                <w:sz w:val="18"/>
                <w:szCs w:val="18"/>
              </w:rPr>
              <w:t>Φ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1/2英寸透镜安装架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KM05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安装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1/2英寸、大于1.78mm厚的光学元件，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精密光学调节架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KS1T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5个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安装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1英寸光学元件，SM1螺纹，3个可锁定调节器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偏振片调节架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KS1RS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光学选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装调整架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，适用于</w:t>
            </w:r>
            <w:r w:rsidRPr="007D6D07">
              <w:rPr>
                <w:rFonts w:ascii="Times New Roman" w:hAnsi="Times New Roman" w:cs="Times New Roman"/>
                <w:sz w:val="18"/>
                <w:szCs w:val="18"/>
              </w:rPr>
              <w:t>ϕ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1英寸光学元件，SM1螺纹，带卡环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D6D07">
              <w:rPr>
                <w:rFonts w:asciiTheme="minorEastAsia" w:hAnsiTheme="minorEastAsia" w:cs="Arial" w:hint="eastAsia"/>
                <w:sz w:val="18"/>
                <w:szCs w:val="18"/>
              </w:rPr>
              <w:t>矩形光学元件安装架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Thorlabs</w:t>
            </w:r>
            <w:proofErr w:type="spellEnd"/>
          </w:p>
        </w:tc>
        <w:tc>
          <w:tcPr>
            <w:tcW w:w="1051" w:type="dxa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KM100CL，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最高33mm，两调节架，配备LN2580青铜锁紧螺母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☆</w:t>
            </w: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其它配件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安装配件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  <w:lang w:val="zh-CN"/>
              </w:rPr>
              <w:t>吸收光谱技术测量设备中各类转接架、安装架、调节架、套管等固定所需的支杆、套筒、压块、夹具、螺丝等，数量按必要需求量的200%配备；磁吸附底座10个；安装工具1套</w:t>
            </w: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光学配件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纤接头（FC/APC和FC/PC）制备工具套装1套、FC光纤接头套装1套（接头数量≥50）、不锈钢波纹光纤保护管200米、光纤松套管（黄色）500米、镜片清洁套装1套、光纤清洗套装1套、光学镜片防尘盒1套（≥5个）、镜片取放工具1套；带螺纹孔的光学直角板、底板、延长板各5块（常用尺寸、大小搭配）；~0.5米面包板4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3E0C" w:rsidRPr="004E50B1" w:rsidTr="009E308A">
        <w:trPr>
          <w:trHeight w:val="2192"/>
        </w:trPr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转接配件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光纤跳线转接头（FC/APC-FC/APC、FC/PC-FC/PC、FC/PC-FC/APC、FC/PC-SMA905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各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10个）；SM螺孔转接头（SM1内-SM05外、SM05内-SM1外、SM1内-SM2外、SM1外-SM2内、盖帽各10个）；BNC转接头（公-母、公-公、母-母各10个）；BNC线（0.5米、2米、2米、5米各10根）；三通BNC接头20个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3E0C" w:rsidRPr="004E50B1" w:rsidTr="009E308A">
        <w:tc>
          <w:tcPr>
            <w:tcW w:w="427" w:type="dxa"/>
            <w:shd w:val="clear" w:color="auto" w:fill="auto"/>
            <w:vAlign w:val="center"/>
          </w:tcPr>
          <w:p w:rsidR="00613E0C" w:rsidRPr="007D6D07" w:rsidRDefault="00613E0C" w:rsidP="00613E0C">
            <w:pPr>
              <w:numPr>
                <w:ilvl w:val="0"/>
                <w:numId w:val="17"/>
              </w:num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屏蔽配件</w:t>
            </w:r>
          </w:p>
        </w:tc>
        <w:tc>
          <w:tcPr>
            <w:tcW w:w="1182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1套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2mm厚铝板（0.5米×1米）15张、镍铜合金材料导电电磁屏蔽布1米×50米、硬质黑色罩壳（~600</w:t>
            </w:r>
            <w:proofErr w:type="gramStart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×400×400</w:t>
            </w:r>
            <w:proofErr w:type="gramEnd"/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mm，类似Thorlabs-XE25C9D）2个、铝板切割/打孔工具1套（含304十字槽沉头M2.5螺钉/螺母100对）。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0C" w:rsidRPr="007D6D07" w:rsidRDefault="00613E0C" w:rsidP="009E308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3E0C" w:rsidRPr="004E50B1" w:rsidTr="009E308A">
        <w:trPr>
          <w:trHeight w:val="263"/>
        </w:trPr>
        <w:tc>
          <w:tcPr>
            <w:tcW w:w="14142" w:type="dxa"/>
            <w:gridSpan w:val="8"/>
            <w:shd w:val="clear" w:color="auto" w:fill="auto"/>
            <w:vAlign w:val="center"/>
          </w:tcPr>
          <w:p w:rsidR="00613E0C" w:rsidRPr="007D6D07" w:rsidRDefault="00613E0C" w:rsidP="009E308A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6D07">
              <w:rPr>
                <w:rFonts w:asciiTheme="minorEastAsia" w:hAnsiTheme="minorEastAsia" w:cs="Times New Roman" w:hint="eastAsia"/>
                <w:sz w:val="18"/>
                <w:szCs w:val="18"/>
              </w:rPr>
              <w:t>注：备注栏标注“☆”的产品为吸收光谱测量系统的重要附件设备。</w:t>
            </w:r>
          </w:p>
        </w:tc>
      </w:tr>
    </w:tbl>
    <w:p w:rsidR="00613E0C" w:rsidRPr="0084686A" w:rsidRDefault="00613E0C" w:rsidP="00613E0C">
      <w:pPr>
        <w:spacing w:line="360" w:lineRule="auto"/>
        <w:rPr>
          <w:rFonts w:ascii="宋体"/>
          <w:sz w:val="24"/>
        </w:rPr>
        <w:sectPr w:rsidR="00613E0C" w:rsidRPr="0084686A" w:rsidSect="004E50B1">
          <w:pgSz w:w="16838" w:h="11906" w:orient="landscape" w:code="9"/>
          <w:pgMar w:top="1304" w:right="1701" w:bottom="1418" w:left="1871" w:header="851" w:footer="992" w:gutter="0"/>
          <w:cols w:space="425"/>
          <w:docGrid w:type="lines" w:linePitch="435" w:charSpace="21679"/>
        </w:sectPr>
      </w:pPr>
    </w:p>
    <w:p w:rsidR="00613E0C" w:rsidRPr="00613E0C" w:rsidRDefault="00613E0C" w:rsidP="00613E0C">
      <w:pPr>
        <w:spacing w:line="360" w:lineRule="auto"/>
        <w:rPr>
          <w:rFonts w:ascii="宋体"/>
          <w:sz w:val="24"/>
        </w:rPr>
        <w:sectPr w:rsidR="00613E0C" w:rsidRPr="00613E0C" w:rsidSect="00613E0C">
          <w:pgSz w:w="16838" w:h="11906" w:orient="landscape" w:code="9"/>
          <w:pgMar w:top="1304" w:right="1701" w:bottom="1418" w:left="1871" w:header="851" w:footer="992" w:gutter="0"/>
          <w:cols w:space="425"/>
          <w:docGrid w:type="linesAndChars" w:linePitch="435" w:charSpace="21679"/>
        </w:sectPr>
      </w:pPr>
    </w:p>
    <w:p w:rsidR="00613E0C" w:rsidRPr="00613E0C" w:rsidRDefault="00613E0C" w:rsidP="00613E0C">
      <w:pPr>
        <w:widowControl/>
        <w:spacing w:line="460" w:lineRule="exact"/>
        <w:jc w:val="left"/>
        <w:rPr>
          <w:rFonts w:ascii="方正小标宋简体" w:eastAsia="方正小标宋简体" w:hAnsi="仿宋" w:cs="Arial"/>
          <w:color w:val="333333"/>
          <w:sz w:val="32"/>
          <w:szCs w:val="32"/>
          <w:shd w:val="clear" w:color="auto" w:fill="FFFFFF"/>
        </w:rPr>
      </w:pPr>
    </w:p>
    <w:sectPr w:rsidR="00613E0C" w:rsidRPr="00613E0C" w:rsidSect="00613E0C">
      <w:pgSz w:w="16838" w:h="11906" w:orient="landscape" w:code="9"/>
      <w:pgMar w:top="1304" w:right="1701" w:bottom="1418" w:left="1871" w:header="851" w:footer="992" w:gutter="0"/>
      <w:cols w:space="425"/>
      <w:docGrid w:type="linesAndChars" w:linePitch="43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E0" w:rsidRDefault="00137FE0" w:rsidP="0075763D">
      <w:r>
        <w:separator/>
      </w:r>
    </w:p>
  </w:endnote>
  <w:endnote w:type="continuationSeparator" w:id="0">
    <w:p w:rsidR="00137FE0" w:rsidRDefault="00137FE0" w:rsidP="007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E0" w:rsidRDefault="00137FE0" w:rsidP="0075763D">
      <w:r>
        <w:separator/>
      </w:r>
    </w:p>
  </w:footnote>
  <w:footnote w:type="continuationSeparator" w:id="0">
    <w:p w:rsidR="00137FE0" w:rsidRDefault="00137FE0" w:rsidP="0075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343"/>
    <w:multiLevelType w:val="hybridMultilevel"/>
    <w:tmpl w:val="A894CC00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3A79F8"/>
    <w:multiLevelType w:val="hybridMultilevel"/>
    <w:tmpl w:val="A894CC00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6A3206"/>
    <w:multiLevelType w:val="hybridMultilevel"/>
    <w:tmpl w:val="A894CC00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39E7A7F"/>
    <w:multiLevelType w:val="hybridMultilevel"/>
    <w:tmpl w:val="7BF03CDC"/>
    <w:lvl w:ilvl="0" w:tplc="733099D0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B171839"/>
    <w:multiLevelType w:val="hybridMultilevel"/>
    <w:tmpl w:val="FC42FAAA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B8B65F6"/>
    <w:multiLevelType w:val="hybridMultilevel"/>
    <w:tmpl w:val="98683438"/>
    <w:lvl w:ilvl="0" w:tplc="3926CC28">
      <w:start w:val="1"/>
      <w:numFmt w:val="lowerLetter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34C16"/>
    <w:multiLevelType w:val="hybridMultilevel"/>
    <w:tmpl w:val="E9421FE4"/>
    <w:lvl w:ilvl="0" w:tplc="87404718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051084"/>
    <w:multiLevelType w:val="hybridMultilevel"/>
    <w:tmpl w:val="1002865C"/>
    <w:lvl w:ilvl="0" w:tplc="2180B520">
      <w:start w:val="1"/>
      <w:numFmt w:val="chineseCountingThousand"/>
      <w:lvlText w:val="%1、"/>
      <w:lvlJc w:val="left"/>
      <w:pPr>
        <w:ind w:left="928" w:hanging="36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B25631D"/>
    <w:multiLevelType w:val="hybridMultilevel"/>
    <w:tmpl w:val="1B665C6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C2E1B93"/>
    <w:multiLevelType w:val="hybridMultilevel"/>
    <w:tmpl w:val="F89AAE4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3B712E"/>
    <w:multiLevelType w:val="hybridMultilevel"/>
    <w:tmpl w:val="FC42FAAA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43118C"/>
    <w:multiLevelType w:val="hybridMultilevel"/>
    <w:tmpl w:val="FC42FAAA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A76A81"/>
    <w:multiLevelType w:val="hybridMultilevel"/>
    <w:tmpl w:val="BF6AFE82"/>
    <w:lvl w:ilvl="0" w:tplc="3926CC28">
      <w:start w:val="1"/>
      <w:numFmt w:val="lowerLetter"/>
      <w:lvlText w:val="%1."/>
      <w:lvlJc w:val="left"/>
      <w:pPr>
        <w:ind w:left="11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3CFF4A2E"/>
    <w:multiLevelType w:val="hybridMultilevel"/>
    <w:tmpl w:val="FC42FAAA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07A4275"/>
    <w:multiLevelType w:val="hybridMultilevel"/>
    <w:tmpl w:val="A894CC00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3136F42"/>
    <w:multiLevelType w:val="hybridMultilevel"/>
    <w:tmpl w:val="1F1833EC"/>
    <w:lvl w:ilvl="0" w:tplc="3926CC28">
      <w:start w:val="1"/>
      <w:numFmt w:val="lowerLetter"/>
      <w:lvlText w:val="%1."/>
      <w:lvlJc w:val="left"/>
      <w:pPr>
        <w:ind w:left="25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6">
    <w:nsid w:val="4587212B"/>
    <w:multiLevelType w:val="hybridMultilevel"/>
    <w:tmpl w:val="E9421FE4"/>
    <w:lvl w:ilvl="0" w:tplc="87404718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0C28E8"/>
    <w:multiLevelType w:val="hybridMultilevel"/>
    <w:tmpl w:val="05A8547C"/>
    <w:lvl w:ilvl="0" w:tplc="3926CC28">
      <w:start w:val="1"/>
      <w:numFmt w:val="lowerLetter"/>
      <w:lvlText w:val="%1."/>
      <w:lvlJc w:val="left"/>
      <w:pPr>
        <w:ind w:left="168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60"/>
        </w:tabs>
        <w:ind w:left="51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20"/>
        </w:tabs>
        <w:ind w:left="7320" w:hanging="360"/>
      </w:pPr>
    </w:lvl>
  </w:abstractNum>
  <w:abstractNum w:abstractNumId="18">
    <w:nsid w:val="517A6B20"/>
    <w:multiLevelType w:val="hybridMultilevel"/>
    <w:tmpl w:val="A894CC00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8D57724"/>
    <w:multiLevelType w:val="hybridMultilevel"/>
    <w:tmpl w:val="EBF6F06A"/>
    <w:lvl w:ilvl="0" w:tplc="3926CC28">
      <w:start w:val="1"/>
      <w:numFmt w:val="lowerLetter"/>
      <w:lvlText w:val="%1."/>
      <w:lvlJc w:val="left"/>
      <w:pPr>
        <w:ind w:left="988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2C5A0F"/>
    <w:multiLevelType w:val="hybridMultilevel"/>
    <w:tmpl w:val="A894CC00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276C3E"/>
    <w:multiLevelType w:val="hybridMultilevel"/>
    <w:tmpl w:val="BF6AFE82"/>
    <w:lvl w:ilvl="0" w:tplc="3926CC28">
      <w:start w:val="1"/>
      <w:numFmt w:val="lowerLetter"/>
      <w:lvlText w:val="%1."/>
      <w:lvlJc w:val="left"/>
      <w:pPr>
        <w:ind w:left="11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2">
    <w:nsid w:val="7BF6560C"/>
    <w:multiLevelType w:val="hybridMultilevel"/>
    <w:tmpl w:val="FC42FAAA"/>
    <w:lvl w:ilvl="0" w:tplc="288E17AA">
      <w:start w:val="1"/>
      <w:numFmt w:val="lowerLetter"/>
      <w:lvlText w:val="%1."/>
      <w:lvlJc w:val="left"/>
      <w:pPr>
        <w:tabs>
          <w:tab w:val="num" w:pos="857"/>
        </w:tabs>
        <w:ind w:left="6" w:firstLine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12"/>
  </w:num>
  <w:num w:numId="9">
    <w:abstractNumId w:val="9"/>
  </w:num>
  <w:num w:numId="10">
    <w:abstractNumId w:val="22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16"/>
  </w:num>
  <w:num w:numId="18">
    <w:abstractNumId w:val="20"/>
  </w:num>
  <w:num w:numId="19">
    <w:abstractNumId w:val="14"/>
  </w:num>
  <w:num w:numId="20">
    <w:abstractNumId w:val="18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3A"/>
    <w:rsid w:val="0006653A"/>
    <w:rsid w:val="000D11C0"/>
    <w:rsid w:val="00137FE0"/>
    <w:rsid w:val="00503AF4"/>
    <w:rsid w:val="005B1A6B"/>
    <w:rsid w:val="00613E0C"/>
    <w:rsid w:val="00690222"/>
    <w:rsid w:val="0075763D"/>
    <w:rsid w:val="00D3281F"/>
    <w:rsid w:val="00D82DE5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63D"/>
    <w:rPr>
      <w:sz w:val="18"/>
      <w:szCs w:val="18"/>
    </w:rPr>
  </w:style>
  <w:style w:type="paragraph" w:styleId="a5">
    <w:name w:val="List Paragraph"/>
    <w:basedOn w:val="a"/>
    <w:uiPriority w:val="34"/>
    <w:qFormat/>
    <w:rsid w:val="0075763D"/>
    <w:pPr>
      <w:ind w:firstLineChars="200" w:firstLine="420"/>
    </w:pPr>
  </w:style>
  <w:style w:type="paragraph" w:customStyle="1" w:styleId="GF">
    <w:name w:val="GF报告表文"/>
    <w:basedOn w:val="a"/>
    <w:link w:val="GFCharChar"/>
    <w:rsid w:val="0075763D"/>
    <w:pPr>
      <w:widowControl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GFCharChar">
    <w:name w:val="GF报告表文 Char Char"/>
    <w:link w:val="GF"/>
    <w:rsid w:val="0075763D"/>
    <w:rPr>
      <w:rFonts w:ascii="Times New Roman" w:eastAsia="宋体" w:hAnsi="Times New Roman" w:cs="Times New Roman"/>
      <w:kern w:val="0"/>
      <w:sz w:val="18"/>
      <w:szCs w:val="20"/>
    </w:rPr>
  </w:style>
  <w:style w:type="table" w:styleId="a6">
    <w:name w:val="Table Grid"/>
    <w:basedOn w:val="a1"/>
    <w:uiPriority w:val="59"/>
    <w:rsid w:val="00FF1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FChar">
    <w:name w:val="GF报告正文 Char"/>
    <w:link w:val="GF0"/>
    <w:locked/>
    <w:rsid w:val="00FF1CFB"/>
    <w:rPr>
      <w:rFonts w:ascii="黑体" w:eastAsia="宋体" w:hAnsi="Times New Roman" w:cs="Times New Roman"/>
      <w:kern w:val="0"/>
      <w:szCs w:val="20"/>
    </w:rPr>
  </w:style>
  <w:style w:type="paragraph" w:customStyle="1" w:styleId="GF0">
    <w:name w:val="GF报告正文"/>
    <w:aliases w:val="分散对齐,首行缩进:  0 厘米"/>
    <w:basedOn w:val="a"/>
    <w:link w:val="GFChar"/>
    <w:qFormat/>
    <w:rsid w:val="00FF1CFB"/>
    <w:pPr>
      <w:adjustRightInd w:val="0"/>
      <w:spacing w:line="360" w:lineRule="atLeast"/>
      <w:ind w:firstLine="431"/>
    </w:pPr>
    <w:rPr>
      <w:rFonts w:ascii="黑体" w:eastAsia="宋体" w:hAnsi="Times New Roman" w:cs="Times New Roman"/>
      <w:kern w:val="0"/>
      <w:szCs w:val="20"/>
    </w:rPr>
  </w:style>
  <w:style w:type="paragraph" w:styleId="a7">
    <w:name w:val="Plain Text"/>
    <w:basedOn w:val="a"/>
    <w:link w:val="Char1"/>
    <w:rsid w:val="000D11C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0D11C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63D"/>
    <w:rPr>
      <w:sz w:val="18"/>
      <w:szCs w:val="18"/>
    </w:rPr>
  </w:style>
  <w:style w:type="paragraph" w:styleId="a5">
    <w:name w:val="List Paragraph"/>
    <w:basedOn w:val="a"/>
    <w:uiPriority w:val="34"/>
    <w:qFormat/>
    <w:rsid w:val="0075763D"/>
    <w:pPr>
      <w:ind w:firstLineChars="200" w:firstLine="420"/>
    </w:pPr>
  </w:style>
  <w:style w:type="paragraph" w:customStyle="1" w:styleId="GF">
    <w:name w:val="GF报告表文"/>
    <w:basedOn w:val="a"/>
    <w:link w:val="GFCharChar"/>
    <w:rsid w:val="0075763D"/>
    <w:pPr>
      <w:widowControl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GFCharChar">
    <w:name w:val="GF报告表文 Char Char"/>
    <w:link w:val="GF"/>
    <w:rsid w:val="0075763D"/>
    <w:rPr>
      <w:rFonts w:ascii="Times New Roman" w:eastAsia="宋体" w:hAnsi="Times New Roman" w:cs="Times New Roman"/>
      <w:kern w:val="0"/>
      <w:sz w:val="18"/>
      <w:szCs w:val="20"/>
    </w:rPr>
  </w:style>
  <w:style w:type="table" w:styleId="a6">
    <w:name w:val="Table Grid"/>
    <w:basedOn w:val="a1"/>
    <w:uiPriority w:val="59"/>
    <w:rsid w:val="00FF1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FChar">
    <w:name w:val="GF报告正文 Char"/>
    <w:link w:val="GF0"/>
    <w:locked/>
    <w:rsid w:val="00FF1CFB"/>
    <w:rPr>
      <w:rFonts w:ascii="黑体" w:eastAsia="宋体" w:hAnsi="Times New Roman" w:cs="Times New Roman"/>
      <w:kern w:val="0"/>
      <w:szCs w:val="20"/>
    </w:rPr>
  </w:style>
  <w:style w:type="paragraph" w:customStyle="1" w:styleId="GF0">
    <w:name w:val="GF报告正文"/>
    <w:aliases w:val="分散对齐,首行缩进:  0 厘米"/>
    <w:basedOn w:val="a"/>
    <w:link w:val="GFChar"/>
    <w:qFormat/>
    <w:rsid w:val="00FF1CFB"/>
    <w:pPr>
      <w:adjustRightInd w:val="0"/>
      <w:spacing w:line="360" w:lineRule="atLeast"/>
      <w:ind w:firstLine="431"/>
    </w:pPr>
    <w:rPr>
      <w:rFonts w:ascii="黑体" w:eastAsia="宋体" w:hAnsi="Times New Roman" w:cs="Times New Roman"/>
      <w:kern w:val="0"/>
      <w:szCs w:val="20"/>
    </w:rPr>
  </w:style>
  <w:style w:type="paragraph" w:styleId="a7">
    <w:name w:val="Plain Text"/>
    <w:basedOn w:val="a"/>
    <w:link w:val="Char1"/>
    <w:rsid w:val="000D11C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0D11C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1779</Words>
  <Characters>10146</Characters>
  <Application>Microsoft Office Word</Application>
  <DocSecurity>0</DocSecurity>
  <Lines>84</Lines>
  <Paragraphs>23</Paragraphs>
  <ScaleCrop>false</ScaleCrop>
  <Company>中国石油大学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周晗</dc:creator>
  <cp:keywords/>
  <dc:description/>
  <cp:lastModifiedBy>JOE</cp:lastModifiedBy>
  <cp:revision>8</cp:revision>
  <dcterms:created xsi:type="dcterms:W3CDTF">2018-02-28T09:52:00Z</dcterms:created>
  <dcterms:modified xsi:type="dcterms:W3CDTF">2018-03-29T05:59:00Z</dcterms:modified>
</cp:coreProperties>
</file>