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2F" w:rsidRPr="008D5D2F" w:rsidRDefault="008D5D2F" w:rsidP="008D5D2F">
      <w:pPr>
        <w:widowControl/>
        <w:spacing w:line="460" w:lineRule="exact"/>
        <w:jc w:val="center"/>
        <w:rPr>
          <w:rFonts w:ascii="方正小标宋简体" w:eastAsia="方正小标宋简体" w:hAnsi="仿宋" w:cs="Arial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8D5D2F">
        <w:rPr>
          <w:rFonts w:ascii="方正小标宋简体" w:eastAsia="方正小标宋简体" w:hAnsi="仿宋" w:cs="Arial" w:hint="eastAsia"/>
          <w:color w:val="333333"/>
          <w:sz w:val="32"/>
          <w:szCs w:val="32"/>
          <w:shd w:val="clear" w:color="auto" w:fill="FFFFFF"/>
        </w:rPr>
        <w:sym w:font="Symbol" w:char="F046"/>
      </w:r>
      <w:r w:rsidRPr="008D5D2F">
        <w:rPr>
          <w:rFonts w:ascii="方正小标宋简体" w:eastAsia="方正小标宋简体" w:hAnsi="仿宋" w:cs="Arial" w:hint="eastAsia"/>
          <w:color w:val="333333"/>
          <w:sz w:val="32"/>
          <w:szCs w:val="32"/>
          <w:shd w:val="clear" w:color="auto" w:fill="FFFFFF"/>
        </w:rPr>
        <w:t>300mm口径变径管主要技术要求</w:t>
      </w:r>
    </w:p>
    <w:p w:rsidR="008D5D2F" w:rsidRDefault="008D5D2F" w:rsidP="008D5D2F">
      <w:pPr>
        <w:pStyle w:val="a5"/>
        <w:widowControl/>
        <w:spacing w:line="460" w:lineRule="exact"/>
        <w:ind w:left="200" w:firstLineChars="0" w:firstLine="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</w:p>
    <w:p w:rsidR="008D5D2F" w:rsidRDefault="008D5D2F" w:rsidP="008D5D2F">
      <w:pPr>
        <w:pStyle w:val="a5"/>
        <w:widowControl/>
        <w:numPr>
          <w:ilvl w:val="0"/>
          <w:numId w:val="1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5A75BE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功能用途：</w:t>
      </w:r>
    </w:p>
    <w:p w:rsidR="008D5D2F" w:rsidRPr="0073079D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73079D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该变径管作为XX设备的核心部件，主要任务是通过自身内径的变化，将过流的高温、高压气体加速到设计的速度，并满足高度的均匀性要求，从而实现设备的设计功能。</w:t>
      </w:r>
    </w:p>
    <w:p w:rsidR="008D5D2F" w:rsidRDefault="008D5D2F" w:rsidP="008D5D2F">
      <w:pPr>
        <w:pStyle w:val="a5"/>
        <w:widowControl/>
        <w:numPr>
          <w:ilvl w:val="0"/>
          <w:numId w:val="1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958BE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研制内容</w:t>
      </w:r>
      <w:r w:rsidRPr="008958BE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：</w:t>
      </w:r>
    </w:p>
    <w:p w:rsidR="008D5D2F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在前期研究成果的基础上完成以下四项研制内容：</w:t>
      </w:r>
    </w:p>
    <w:p w:rsidR="008D5D2F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a. 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高精度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变径管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加工工艺的优化及固化，包括材料的选择、加工方式的选择，新加工工艺的探索等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 </w:t>
      </w:r>
    </w:p>
    <w:p w:rsidR="008D5D2F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b. 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高精度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变径管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加工检测方法的探索、优选及固化，包括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几何构型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坐标的检测、表面光洁度的检测、配合缝隙的检测、配合台阶的检测等</w:t>
      </w:r>
      <w:r w:rsidRPr="008958BE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；</w:t>
      </w:r>
    </w:p>
    <w:p w:rsidR="008D5D2F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 xml:space="preserve">c. 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指定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构型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高精度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变径管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加工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；</w:t>
      </w:r>
    </w:p>
    <w:p w:rsidR="008D5D2F" w:rsidRPr="008958BE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d. 提交完备的研制总结报告、检测报告和图册等软件技术资料。</w:t>
      </w:r>
    </w:p>
    <w:p w:rsidR="008D5D2F" w:rsidRPr="00C84BEF" w:rsidRDefault="008D5D2F" w:rsidP="008D5D2F">
      <w:pPr>
        <w:pStyle w:val="a5"/>
        <w:widowControl/>
        <w:numPr>
          <w:ilvl w:val="0"/>
          <w:numId w:val="1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5A75BE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主要</w:t>
      </w:r>
      <w:r w:rsidRPr="005A75BE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指</w:t>
      </w:r>
      <w:r w:rsidRPr="00C84BEF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标</w:t>
      </w:r>
      <w:r w:rsidRPr="00C84BEF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：</w:t>
      </w:r>
    </w:p>
    <w:p w:rsidR="008D5D2F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C84BEF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项目执行时间为5个月, 指定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构型</w:t>
      </w:r>
      <w:r w:rsidRPr="00B5089A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高精度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变径管的主要参数指标和加工技术要求如下：</w:t>
      </w:r>
    </w:p>
    <w:p w:rsidR="008D5D2F" w:rsidRDefault="008D5D2F" w:rsidP="008D5D2F">
      <w:pPr>
        <w:pStyle w:val="a5"/>
        <w:widowControl/>
        <w:numPr>
          <w:ilvl w:val="0"/>
          <w:numId w:val="2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主要参数指标</w:t>
      </w:r>
    </w:p>
    <w:p w:rsidR="008D5D2F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入口直径</w:t>
      </w:r>
      <w:r w:rsidRPr="009F2C10">
        <w:rPr>
          <w:shd w:val="clear" w:color="auto" w:fill="FFFFFF"/>
        </w:rPr>
        <w:sym w:font="Symbol" w:char="F046"/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42</w:t>
      </w:r>
      <w:r w:rsidRPr="009B0532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0mm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，出口直径</w:t>
      </w:r>
      <w:r w:rsidRPr="009F2C10">
        <w:rPr>
          <w:shd w:val="clear" w:color="auto" w:fill="FFFFFF"/>
        </w:rPr>
        <w:sym w:font="Symbol" w:char="F046"/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32</w:t>
      </w:r>
      <w:r w:rsidRPr="009B0532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0mm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，最小口径</w:t>
      </w:r>
      <w:r w:rsidRPr="009F2C10">
        <w:rPr>
          <w:shd w:val="clear" w:color="auto" w:fill="FFFFFF"/>
        </w:rPr>
        <w:sym w:font="Symbol" w:char="F046"/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38.80</w:t>
      </w:r>
      <w:r w:rsidRPr="009B0532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mm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，长度小于等于3620mm，并以0.1mm的间隔提供坐标数据；最高工作总压2.0M</w:t>
      </w:r>
      <w:r w:rsidRPr="009B0532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p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a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最高工作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温度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445K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，并长时间处于该条件下。</w:t>
      </w:r>
    </w:p>
    <w:p w:rsidR="008D5D2F" w:rsidRDefault="008D5D2F" w:rsidP="008D5D2F">
      <w:pPr>
        <w:pStyle w:val="a5"/>
        <w:widowControl/>
        <w:numPr>
          <w:ilvl w:val="0"/>
          <w:numId w:val="2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加工技术要求</w:t>
      </w:r>
    </w:p>
    <w:p w:rsidR="008D5D2F" w:rsidRPr="009B0532" w:rsidRDefault="008D5D2F" w:rsidP="008D5D2F">
      <w:pPr>
        <w:widowControl/>
        <w:spacing w:line="46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由厂家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根据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变径管几何构型、加工精度指标要求以及加工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工艺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/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检测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方法研究成果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完成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施工图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的设计，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经评审通过后，按图</w:t>
      </w:r>
      <w:r w:rsidRPr="009B0532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进行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加工制造。</w:t>
      </w:r>
      <w:r w:rsidRPr="009B0532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 xml:space="preserve"> </w:t>
      </w:r>
    </w:p>
    <w:p w:rsidR="008D5D2F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所用材料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提供相关材质证明，并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进行超声波探伤，探伤标准按（</w:t>
      </w:r>
      <w:r w:rsidRPr="00860556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JB1150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－</w:t>
      </w:r>
      <w:r w:rsidRPr="00860556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73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）II级标准进行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。</w:t>
      </w:r>
    </w:p>
    <w:p w:rsidR="008D5D2F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变径管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按给定的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坐标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数据表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加工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，加工后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坐标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尺寸最大偏差不超过±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7"/>
          <w:attr w:name="UnitName" w:val="mm"/>
        </w:smartTagPr>
        <w:r w:rsidRPr="00860556">
          <w:rPr>
            <w:rFonts w:ascii="仿宋_GB2312" w:eastAsia="仿宋_GB2312" w:hAnsi="仿宋" w:cs="Arial"/>
            <w:color w:val="333333"/>
            <w:sz w:val="28"/>
            <w:szCs w:val="32"/>
            <w:shd w:val="clear" w:color="auto" w:fill="FFFFFF"/>
          </w:rPr>
          <w:t>0.0</w:t>
        </w:r>
        <w:r w:rsidRPr="00860556">
          <w:rPr>
            <w:rFonts w:ascii="仿宋_GB2312" w:eastAsia="仿宋_GB2312" w:hAnsi="仿宋" w:cs="Arial" w:hint="eastAsia"/>
            <w:color w:val="333333"/>
            <w:sz w:val="28"/>
            <w:szCs w:val="32"/>
            <w:shd w:val="clear" w:color="auto" w:fill="FFFFFF"/>
          </w:rPr>
          <w:t>07mm</w:t>
        </w:r>
      </w:smartTag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，合格率大于95%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。</w:t>
      </w:r>
    </w:p>
    <w:p w:rsidR="008D5D2F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lastRenderedPageBreak/>
        <w:t>内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表面光洁度优于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5"/>
          <w:attr w:name="UnitName" w:val="m"/>
        </w:smartTagPr>
        <w:r w:rsidRPr="00860556">
          <w:rPr>
            <w:rFonts w:ascii="仿宋_GB2312" w:eastAsia="仿宋_GB2312" w:hAnsi="仿宋" w:cs="Arial" w:hint="eastAsia"/>
            <w:color w:val="333333"/>
            <w:sz w:val="28"/>
            <w:szCs w:val="32"/>
            <w:shd w:val="clear" w:color="auto" w:fill="FFFFFF"/>
          </w:rPr>
          <w:t>0.25</w:t>
        </w:r>
        <w:r w:rsidRPr="00860556">
          <w:rPr>
            <w:rFonts w:ascii="仿宋_GB2312" w:eastAsia="仿宋_GB2312" w:hAnsi="仿宋" w:cs="Arial" w:hint="eastAsia"/>
            <w:color w:val="333333"/>
            <w:sz w:val="28"/>
            <w:szCs w:val="32"/>
            <w:shd w:val="clear" w:color="auto" w:fill="FFFFFF"/>
          </w:rPr>
          <w:sym w:font="Symbol" w:char="F06D"/>
        </w:r>
      </w:smartTag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m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，并不得出现任何形式的表面缺陷(损伤性的细微划痕、孔眼及局部凹凸等)。</w:t>
      </w:r>
    </w:p>
    <w:p w:rsidR="008D5D2F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若采用分段加工，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整套部件组装后同轴度要求小于Ф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5"/>
          <w:attr w:name="UnitName" w:val="mm"/>
        </w:smartTagPr>
        <w:r w:rsidRPr="00860556">
          <w:rPr>
            <w:rFonts w:ascii="仿宋_GB2312" w:eastAsia="仿宋_GB2312" w:hAnsi="仿宋" w:cs="Arial" w:hint="eastAsia"/>
            <w:color w:val="333333"/>
            <w:sz w:val="28"/>
            <w:szCs w:val="32"/>
            <w:shd w:val="clear" w:color="auto" w:fill="FFFFFF"/>
          </w:rPr>
          <w:t>0.05mm</w:t>
        </w:r>
      </w:smartTag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。</w:t>
      </w:r>
    </w:p>
    <w:p w:rsidR="008D5D2F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整套部件组装后段与段之间的接缝小于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mm"/>
        </w:smartTagPr>
        <w:r w:rsidRPr="00860556">
          <w:rPr>
            <w:rFonts w:ascii="仿宋_GB2312" w:eastAsia="仿宋_GB2312" w:hAnsi="仿宋" w:cs="Arial"/>
            <w:color w:val="333333"/>
            <w:sz w:val="28"/>
            <w:szCs w:val="32"/>
            <w:shd w:val="clear" w:color="auto" w:fill="FFFFFF"/>
          </w:rPr>
          <w:t>0.0</w:t>
        </w:r>
        <w:r w:rsidRPr="00860556">
          <w:rPr>
            <w:rFonts w:ascii="仿宋_GB2312" w:eastAsia="仿宋_GB2312" w:hAnsi="仿宋" w:cs="Arial" w:hint="eastAsia"/>
            <w:color w:val="333333"/>
            <w:sz w:val="28"/>
            <w:szCs w:val="32"/>
            <w:shd w:val="clear" w:color="auto" w:fill="FFFFFF"/>
          </w:rPr>
          <w:t>1</w:t>
        </w:r>
        <w:r w:rsidRPr="00860556">
          <w:rPr>
            <w:rFonts w:ascii="仿宋_GB2312" w:eastAsia="仿宋_GB2312" w:hAnsi="仿宋" w:cs="Arial"/>
            <w:color w:val="333333"/>
            <w:sz w:val="28"/>
            <w:szCs w:val="32"/>
            <w:shd w:val="clear" w:color="auto" w:fill="FFFFFF"/>
          </w:rPr>
          <w:t>mm</w:t>
        </w:r>
      </w:smartTag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，且贴合率大于95%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。</w:t>
      </w:r>
    </w:p>
    <w:p w:rsidR="008D5D2F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各段连接处保持顺差，顺差台阶小于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7"/>
          <w:attr w:name="UnitName" w:val="mm"/>
        </w:smartTagPr>
        <w:r w:rsidRPr="00860556">
          <w:rPr>
            <w:rFonts w:ascii="仿宋_GB2312" w:eastAsia="仿宋_GB2312" w:hAnsi="仿宋" w:cs="Arial" w:hint="eastAsia"/>
            <w:color w:val="333333"/>
            <w:sz w:val="28"/>
            <w:szCs w:val="32"/>
            <w:shd w:val="clear" w:color="auto" w:fill="FFFFFF"/>
          </w:rPr>
          <w:t>0.007mm</w:t>
        </w:r>
      </w:smartTag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。</w:t>
      </w:r>
    </w:p>
    <w:p w:rsidR="008D5D2F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定位面加工等级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优于</w:t>
      </w:r>
      <w:r w:rsidRPr="00860556"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  <w:t>IT</w:t>
      </w: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5级。</w:t>
      </w:r>
    </w:p>
    <w:p w:rsidR="008D5D2F" w:rsidRPr="00860556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加工组装完后进行0.5MPa气密性试验，保持15分钟无泄漏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。</w:t>
      </w:r>
    </w:p>
    <w:p w:rsidR="008D5D2F" w:rsidRPr="00860556" w:rsidRDefault="008D5D2F" w:rsidP="008D5D2F">
      <w:pPr>
        <w:pStyle w:val="a5"/>
        <w:widowControl/>
        <w:numPr>
          <w:ilvl w:val="0"/>
          <w:numId w:val="3"/>
        </w:numPr>
        <w:spacing w:line="460" w:lineRule="exact"/>
        <w:ind w:left="0" w:firstLine="560"/>
        <w:rPr>
          <w:rFonts w:ascii="仿宋_GB2312" w:eastAsia="仿宋_GB2312" w:hAnsi="仿宋" w:cs="Arial"/>
          <w:color w:val="333333"/>
          <w:sz w:val="28"/>
          <w:szCs w:val="32"/>
          <w:shd w:val="clear" w:color="auto" w:fill="FFFFFF"/>
        </w:rPr>
      </w:pPr>
      <w:r w:rsidRPr="00860556"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提供</w:t>
      </w:r>
      <w:r>
        <w:rPr>
          <w:rFonts w:ascii="仿宋_GB2312" w:eastAsia="仿宋_GB2312" w:hAnsi="仿宋" w:cs="Arial" w:hint="eastAsia"/>
          <w:color w:val="333333"/>
          <w:sz w:val="28"/>
          <w:szCs w:val="32"/>
          <w:shd w:val="clear" w:color="auto" w:fill="FFFFFF"/>
        </w:rPr>
        <w:t>从原材料采购到制造完成过程中各个环节的完备的检测记录和报告。</w:t>
      </w:r>
    </w:p>
    <w:p w:rsidR="00582D66" w:rsidRPr="008D5D2F" w:rsidRDefault="00582D66"/>
    <w:sectPr w:rsidR="00582D66" w:rsidRPr="008D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2F" w:rsidRDefault="008D5D2F" w:rsidP="008D5D2F">
      <w:r>
        <w:separator/>
      </w:r>
    </w:p>
  </w:endnote>
  <w:endnote w:type="continuationSeparator" w:id="0">
    <w:p w:rsidR="008D5D2F" w:rsidRDefault="008D5D2F" w:rsidP="008D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2F" w:rsidRDefault="008D5D2F" w:rsidP="008D5D2F">
      <w:r>
        <w:separator/>
      </w:r>
    </w:p>
  </w:footnote>
  <w:footnote w:type="continuationSeparator" w:id="0">
    <w:p w:rsidR="008D5D2F" w:rsidRDefault="008D5D2F" w:rsidP="008D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631D"/>
    <w:multiLevelType w:val="hybridMultilevel"/>
    <w:tmpl w:val="1B665C6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AF72FE"/>
    <w:multiLevelType w:val="hybridMultilevel"/>
    <w:tmpl w:val="29AC1EC4"/>
    <w:lvl w:ilvl="0" w:tplc="B2E818A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ED62FBE"/>
    <w:multiLevelType w:val="hybridMultilevel"/>
    <w:tmpl w:val="9DC4E61E"/>
    <w:lvl w:ilvl="0" w:tplc="1F02D086">
      <w:start w:val="1"/>
      <w:numFmt w:val="lowerLetter"/>
      <w:lvlText w:val="%1.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5C"/>
    <w:rsid w:val="004E275C"/>
    <w:rsid w:val="00582D66"/>
    <w:rsid w:val="008D5D2F"/>
    <w:rsid w:val="00D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C7DD4C-21FA-44DD-AC6A-9BEC11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D2F"/>
    <w:rPr>
      <w:sz w:val="18"/>
      <w:szCs w:val="18"/>
    </w:rPr>
  </w:style>
  <w:style w:type="paragraph" w:styleId="a5">
    <w:name w:val="List Paragraph"/>
    <w:basedOn w:val="a"/>
    <w:uiPriority w:val="34"/>
    <w:qFormat/>
    <w:rsid w:val="008D5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中国石油大学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周晗</dc:creator>
  <cp:keywords/>
  <dc:description/>
  <cp:lastModifiedBy>周晗</cp:lastModifiedBy>
  <cp:revision>2</cp:revision>
  <dcterms:created xsi:type="dcterms:W3CDTF">2018-03-01T01:48:00Z</dcterms:created>
  <dcterms:modified xsi:type="dcterms:W3CDTF">2018-03-01T01:48:00Z</dcterms:modified>
</cp:coreProperties>
</file>